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581C6" w14:textId="77777777" w:rsidR="00783C26" w:rsidRPr="00424359" w:rsidRDefault="00783C26" w:rsidP="00783C26">
      <w:pPr>
        <w:spacing w:after="819" w:line="259" w:lineRule="auto"/>
        <w:ind w:left="0" w:right="244" w:firstLine="0"/>
        <w:jc w:val="center"/>
        <w:rPr>
          <w:rFonts w:ascii="Arial" w:hAnsi="Arial" w:cs="Arial"/>
          <w:noProof/>
          <w:lang w:val="en-GB"/>
        </w:rPr>
      </w:pPr>
      <w:r w:rsidRPr="00424359">
        <w:rPr>
          <w:rFonts w:ascii="Arial" w:hAnsi="Arial" w:cs="Arial"/>
          <w:noProof/>
          <w:sz w:val="34"/>
          <w:lang w:val="en-GB"/>
        </w:rPr>
        <w:t>Contract for services</w:t>
      </w:r>
    </w:p>
    <w:p w14:paraId="334058CE" w14:textId="77777777" w:rsidR="00783C26" w:rsidRPr="00424359" w:rsidRDefault="63DBDB43" w:rsidP="00783C26">
      <w:pPr>
        <w:spacing w:after="608" w:line="302" w:lineRule="auto"/>
        <w:rPr>
          <w:rFonts w:ascii="Arial" w:hAnsi="Arial" w:cs="Arial"/>
          <w:noProof/>
          <w:lang w:val="en-GB"/>
        </w:rPr>
      </w:pPr>
      <w:r w:rsidRPr="5DDA84EA">
        <w:rPr>
          <w:rFonts w:ascii="Arial" w:hAnsi="Arial" w:cs="Arial"/>
          <w:noProof/>
          <w:lang w:val="en-GB"/>
        </w:rPr>
        <w:t>The German Red Cross, Carstennstraße 58, 12205 Berlin, represented by Christian Reuter, Secretary General</w:t>
      </w:r>
    </w:p>
    <w:p w14:paraId="29E511F0" w14:textId="77777777" w:rsidR="00072956" w:rsidRPr="00072956" w:rsidRDefault="00783C26" w:rsidP="00072956">
      <w:pPr>
        <w:numPr>
          <w:ilvl w:val="0"/>
          <w:numId w:val="1"/>
        </w:numPr>
        <w:tabs>
          <w:tab w:val="left" w:pos="4111"/>
        </w:tabs>
        <w:spacing w:after="0" w:line="485" w:lineRule="auto"/>
        <w:ind w:right="425" w:firstLine="4111"/>
        <w:rPr>
          <w:rFonts w:ascii="Arial" w:hAnsi="Arial" w:cs="Arial"/>
          <w:noProof/>
          <w:szCs w:val="24"/>
          <w:lang w:val="en-GB"/>
        </w:rPr>
      </w:pPr>
      <w:r w:rsidRPr="00424359">
        <w:rPr>
          <w:rFonts w:ascii="Arial" w:hAnsi="Arial" w:cs="Arial"/>
          <w:noProof/>
          <w:lang w:val="en-GB"/>
        </w:rPr>
        <w:t xml:space="preserve">hereinafter referred to as the Client </w:t>
      </w:r>
    </w:p>
    <w:p w14:paraId="469BA270" w14:textId="7BA95314" w:rsidR="00783C26" w:rsidRPr="00424359" w:rsidRDefault="00783C26" w:rsidP="00072956">
      <w:pPr>
        <w:tabs>
          <w:tab w:val="left" w:pos="4111"/>
        </w:tabs>
        <w:spacing w:after="0" w:line="485" w:lineRule="auto"/>
        <w:ind w:left="0" w:right="425" w:firstLine="0"/>
        <w:rPr>
          <w:rFonts w:ascii="Arial" w:hAnsi="Arial" w:cs="Arial"/>
          <w:noProof/>
          <w:szCs w:val="24"/>
          <w:lang w:val="en-GB"/>
        </w:rPr>
      </w:pPr>
      <w:r w:rsidRPr="00424359">
        <w:rPr>
          <w:rFonts w:ascii="Arial" w:hAnsi="Arial" w:cs="Arial"/>
          <w:noProof/>
          <w:szCs w:val="24"/>
          <w:lang w:val="en-GB"/>
        </w:rPr>
        <w:t>concludes the following contract with</w:t>
      </w:r>
    </w:p>
    <w:p w14:paraId="43045588" w14:textId="5CB1CA15" w:rsidR="00250AC8" w:rsidRPr="00424359" w:rsidRDefault="00250AC8" w:rsidP="00783C26">
      <w:pPr>
        <w:spacing w:after="49"/>
        <w:ind w:left="0" w:right="418" w:firstLine="0"/>
        <w:rPr>
          <w:rFonts w:ascii="Arial" w:hAnsi="Arial" w:cs="Arial"/>
          <w:noProof/>
          <w:szCs w:val="24"/>
          <w:lang w:val="en-GB"/>
        </w:rPr>
      </w:pPr>
      <w:r>
        <w:rPr>
          <w:rFonts w:ascii="Arial" w:hAnsi="Arial" w:cs="Arial"/>
          <w:noProof/>
          <w:szCs w:val="24"/>
          <w:lang w:val="en-GB"/>
        </w:rPr>
        <w:t>xxx</w:t>
      </w:r>
    </w:p>
    <w:p w14:paraId="21325075" w14:textId="77777777" w:rsidR="00783C26" w:rsidRPr="00424359" w:rsidRDefault="00783C26" w:rsidP="00072956">
      <w:pPr>
        <w:numPr>
          <w:ilvl w:val="0"/>
          <w:numId w:val="1"/>
        </w:numPr>
        <w:tabs>
          <w:tab w:val="left" w:pos="4111"/>
        </w:tabs>
        <w:spacing w:after="0" w:line="485" w:lineRule="auto"/>
        <w:ind w:right="425" w:firstLine="4111"/>
        <w:rPr>
          <w:rFonts w:ascii="Arial" w:hAnsi="Arial" w:cs="Arial"/>
          <w:noProof/>
          <w:lang w:val="en-GB"/>
        </w:rPr>
      </w:pPr>
      <w:r w:rsidRPr="00424359">
        <w:rPr>
          <w:rFonts w:ascii="Arial" w:hAnsi="Arial" w:cs="Arial"/>
          <w:noProof/>
          <w:lang w:val="en-GB"/>
        </w:rPr>
        <w:t>hereinafter referred to as the Consultant</w:t>
      </w:r>
    </w:p>
    <w:p w14:paraId="22454ED4" w14:textId="325D8A84" w:rsidR="00783C26" w:rsidRPr="00424359" w:rsidRDefault="00783C26" w:rsidP="000254DA">
      <w:pPr>
        <w:spacing w:after="210" w:line="265" w:lineRule="auto"/>
        <w:ind w:left="10" w:right="76" w:hanging="10"/>
        <w:jc w:val="center"/>
        <w:rPr>
          <w:rFonts w:ascii="Arial" w:hAnsi="Arial" w:cs="Arial"/>
          <w:noProof/>
          <w:sz w:val="26"/>
          <w:lang w:val="en-GB"/>
        </w:rPr>
      </w:pPr>
      <w:r w:rsidRPr="00424359">
        <w:rPr>
          <w:rFonts w:ascii="Arial" w:hAnsi="Arial" w:cs="Arial"/>
          <w:noProof/>
          <w:sz w:val="26"/>
          <w:lang w:val="en-GB"/>
        </w:rPr>
        <w:t>Art. 1 Description of services</w:t>
      </w:r>
      <w:r w:rsidR="00EA7F74" w:rsidRPr="00424359">
        <w:rPr>
          <w:rFonts w:ascii="Arial" w:hAnsi="Arial" w:cs="Arial"/>
          <w:noProof/>
          <w:sz w:val="26"/>
          <w:lang w:val="en-GB"/>
        </w:rPr>
        <w:t xml:space="preserve"> and duties of the Consultant</w:t>
      </w:r>
    </w:p>
    <w:p w14:paraId="104D4060" w14:textId="2B6945BA" w:rsidR="003B45B0" w:rsidRPr="005407C3" w:rsidRDefault="63DBDB43" w:rsidP="005407C3">
      <w:pPr>
        <w:numPr>
          <w:ilvl w:val="0"/>
          <w:numId w:val="2"/>
        </w:numPr>
        <w:ind w:right="418"/>
        <w:rPr>
          <w:rFonts w:ascii="Arial" w:hAnsi="Arial" w:cs="Arial"/>
          <w:noProof/>
          <w:lang w:val="en-GB"/>
        </w:rPr>
      </w:pPr>
      <w:r w:rsidRPr="656F30BF">
        <w:rPr>
          <w:rFonts w:ascii="Arial" w:hAnsi="Arial" w:cs="Arial"/>
          <w:noProof/>
          <w:lang w:val="en-GB"/>
        </w:rPr>
        <w:t xml:space="preserve">The Consultant is responsible for </w:t>
      </w:r>
      <w:r w:rsidR="61179F6E" w:rsidRPr="656F30BF">
        <w:rPr>
          <w:rFonts w:ascii="Arial" w:hAnsi="Arial" w:cs="Arial"/>
          <w:noProof/>
          <w:lang w:val="en-GB"/>
        </w:rPr>
        <w:t xml:space="preserve">conducting a </w:t>
      </w:r>
      <w:r w:rsidR="00A46FD6" w:rsidRPr="656F30BF">
        <w:rPr>
          <w:rFonts w:ascii="Arial" w:hAnsi="Arial" w:cs="Arial"/>
          <w:noProof/>
          <w:lang w:val="en-GB"/>
        </w:rPr>
        <w:t>final evaluation</w:t>
      </w:r>
      <w:r w:rsidR="61179F6E" w:rsidRPr="656F30BF">
        <w:rPr>
          <w:rFonts w:ascii="Arial" w:hAnsi="Arial" w:cs="Arial"/>
          <w:noProof/>
          <w:lang w:val="en-GB"/>
        </w:rPr>
        <w:t xml:space="preserve"> of the </w:t>
      </w:r>
      <w:r w:rsidR="66EE1326" w:rsidRPr="656F30BF">
        <w:rPr>
          <w:rFonts w:ascii="Arial" w:hAnsi="Arial" w:cs="Arial"/>
          <w:noProof/>
          <w:lang w:val="en-GB"/>
        </w:rPr>
        <w:t>project “</w:t>
      </w:r>
      <w:r w:rsidR="00D472BE" w:rsidRPr="000254DA">
        <w:rPr>
          <w:rFonts w:ascii="Arial" w:hAnsi="Arial" w:cs="Arial"/>
          <w:noProof/>
          <w:lang w:val="en-GB"/>
        </w:rPr>
        <w:t>Empowering the Philippine Institutions and Communities in Disaster Risk Reduction and Management (EPIC DRRM Project – Phase III)”</w:t>
      </w:r>
      <w:r w:rsidR="0014246A" w:rsidRPr="656F30BF">
        <w:rPr>
          <w:rFonts w:ascii="Arial" w:hAnsi="Arial" w:cs="Arial"/>
          <w:noProof/>
          <w:lang w:val="en-GB"/>
        </w:rPr>
        <w:t>.</w:t>
      </w:r>
      <w:r w:rsidR="262050F1" w:rsidRPr="656F30BF">
        <w:rPr>
          <w:rFonts w:ascii="Arial" w:hAnsi="Arial" w:cs="Arial"/>
          <w:noProof/>
          <w:lang w:val="en-GB"/>
        </w:rPr>
        <w:t xml:space="preserve"> </w:t>
      </w:r>
      <w:r w:rsidR="15735A90" w:rsidRPr="656F30BF">
        <w:rPr>
          <w:rFonts w:ascii="Arial" w:hAnsi="Arial" w:cs="Arial"/>
          <w:noProof/>
          <w:lang w:val="en-GB"/>
        </w:rPr>
        <w:t>The endeavour comprises</w:t>
      </w:r>
      <w:r w:rsidR="238CF45F" w:rsidRPr="656F30BF">
        <w:rPr>
          <w:rFonts w:ascii="Arial" w:hAnsi="Arial" w:cs="Arial"/>
          <w:noProof/>
          <w:lang w:val="en-GB"/>
        </w:rPr>
        <w:t>, among other tasks,</w:t>
      </w:r>
      <w:r w:rsidR="15735A90" w:rsidRPr="656F30BF">
        <w:rPr>
          <w:rFonts w:ascii="Arial" w:hAnsi="Arial" w:cs="Arial"/>
          <w:noProof/>
          <w:lang w:val="en-GB"/>
        </w:rPr>
        <w:t xml:space="preserve"> of travel in </w:t>
      </w:r>
      <w:r w:rsidR="5F941E4F" w:rsidRPr="656F30BF">
        <w:rPr>
          <w:rFonts w:ascii="Arial" w:hAnsi="Arial" w:cs="Arial"/>
          <w:noProof/>
          <w:lang w:val="en-GB"/>
        </w:rPr>
        <w:t>country, collection and analysati</w:t>
      </w:r>
      <w:r w:rsidR="017F5A66" w:rsidRPr="656F30BF">
        <w:rPr>
          <w:rFonts w:ascii="Arial" w:hAnsi="Arial" w:cs="Arial"/>
          <w:noProof/>
          <w:lang w:val="en-GB"/>
        </w:rPr>
        <w:t>o</w:t>
      </w:r>
      <w:r w:rsidR="5F941E4F" w:rsidRPr="656F30BF">
        <w:rPr>
          <w:rFonts w:ascii="Arial" w:hAnsi="Arial" w:cs="Arial"/>
          <w:noProof/>
          <w:lang w:val="en-GB"/>
        </w:rPr>
        <w:t>n of</w:t>
      </w:r>
      <w:r w:rsidR="607771A5" w:rsidRPr="656F30BF">
        <w:rPr>
          <w:rFonts w:ascii="Arial" w:hAnsi="Arial" w:cs="Arial"/>
          <w:noProof/>
          <w:lang w:val="en-GB"/>
        </w:rPr>
        <w:t xml:space="preserve"> relevant</w:t>
      </w:r>
      <w:r w:rsidR="5F941E4F" w:rsidRPr="656F30BF">
        <w:rPr>
          <w:rFonts w:ascii="Arial" w:hAnsi="Arial" w:cs="Arial"/>
          <w:noProof/>
          <w:lang w:val="en-GB"/>
        </w:rPr>
        <w:t xml:space="preserve"> information and data, writing an evaluation report and</w:t>
      </w:r>
      <w:r w:rsidR="48341E6B" w:rsidRPr="656F30BF">
        <w:rPr>
          <w:rFonts w:ascii="Arial" w:hAnsi="Arial" w:cs="Arial"/>
          <w:noProof/>
          <w:lang w:val="en-GB"/>
        </w:rPr>
        <w:t xml:space="preserve"> the organisation and faciliation of a validation workshop.</w:t>
      </w:r>
      <w:r w:rsidR="54B1E7D9" w:rsidRPr="656F30BF">
        <w:rPr>
          <w:rFonts w:ascii="Arial" w:hAnsi="Arial" w:cs="Arial"/>
          <w:noProof/>
          <w:lang w:val="en-GB"/>
        </w:rPr>
        <w:t xml:space="preserve"> </w:t>
      </w:r>
      <w:r w:rsidR="48341E6B" w:rsidRPr="656F30BF">
        <w:rPr>
          <w:rFonts w:ascii="Arial" w:hAnsi="Arial" w:cs="Arial"/>
          <w:noProof/>
          <w:lang w:val="en-GB"/>
        </w:rPr>
        <w:t xml:space="preserve">The </w:t>
      </w:r>
      <w:r w:rsidR="050DB803" w:rsidRPr="656F30BF">
        <w:rPr>
          <w:rFonts w:ascii="Arial" w:hAnsi="Arial" w:cs="Arial"/>
          <w:noProof/>
          <w:lang w:val="en-GB"/>
        </w:rPr>
        <w:t>specifics are explained in detail in the respective Terms of Reference.</w:t>
      </w:r>
      <w:r w:rsidR="5F941E4F" w:rsidRPr="656F30BF">
        <w:rPr>
          <w:rFonts w:ascii="Arial" w:hAnsi="Arial" w:cs="Arial"/>
          <w:noProof/>
          <w:lang w:val="en-GB"/>
        </w:rPr>
        <w:t xml:space="preserve"> </w:t>
      </w:r>
      <w:r w:rsidR="3E50AB9F" w:rsidRPr="005407C3">
        <w:rPr>
          <w:rFonts w:ascii="Arial" w:hAnsi="Arial" w:cs="Arial"/>
          <w:noProof/>
          <w:lang w:val="en-GB"/>
        </w:rPr>
        <w:t xml:space="preserve">The assignment is to be completed </w:t>
      </w:r>
      <w:r w:rsidR="130F3370" w:rsidRPr="005407C3">
        <w:rPr>
          <w:rFonts w:ascii="Arial" w:hAnsi="Arial" w:cs="Arial"/>
          <w:noProof/>
          <w:lang w:val="en-GB"/>
        </w:rPr>
        <w:t xml:space="preserve">within </w:t>
      </w:r>
      <w:r w:rsidR="004A003D" w:rsidRPr="005407C3">
        <w:rPr>
          <w:rFonts w:ascii="Arial" w:hAnsi="Arial" w:cs="Arial"/>
          <w:noProof/>
          <w:lang w:val="en-GB"/>
        </w:rPr>
        <w:t>27</w:t>
      </w:r>
      <w:r w:rsidR="130F3370" w:rsidRPr="005407C3">
        <w:rPr>
          <w:rFonts w:ascii="Arial" w:hAnsi="Arial" w:cs="Arial"/>
          <w:noProof/>
          <w:lang w:val="en-GB"/>
        </w:rPr>
        <w:t xml:space="preserve"> days</w:t>
      </w:r>
      <w:r w:rsidR="00E7779F" w:rsidRPr="005407C3">
        <w:rPr>
          <w:rFonts w:ascii="Arial" w:hAnsi="Arial" w:cs="Arial"/>
          <w:noProof/>
          <w:lang w:val="en-GB"/>
        </w:rPr>
        <w:t>,</w:t>
      </w:r>
      <w:r w:rsidR="130F3370" w:rsidRPr="005407C3">
        <w:rPr>
          <w:rFonts w:ascii="Arial" w:hAnsi="Arial" w:cs="Arial"/>
          <w:noProof/>
          <w:lang w:val="en-GB"/>
        </w:rPr>
        <w:t xml:space="preserve"> </w:t>
      </w:r>
      <w:r w:rsidR="5180B17D" w:rsidRPr="005407C3">
        <w:rPr>
          <w:rFonts w:ascii="Arial" w:hAnsi="Arial" w:cs="Arial"/>
          <w:noProof/>
          <w:lang w:val="en-GB"/>
        </w:rPr>
        <w:t>from</w:t>
      </w:r>
      <w:r w:rsidR="71CB63F9" w:rsidRPr="005407C3">
        <w:rPr>
          <w:rFonts w:ascii="Arial" w:hAnsi="Arial" w:cs="Arial"/>
          <w:noProof/>
          <w:lang w:val="en-GB"/>
        </w:rPr>
        <w:t xml:space="preserve"> </w:t>
      </w:r>
      <w:r w:rsidR="00A46FD6" w:rsidRPr="005407C3">
        <w:rPr>
          <w:rFonts w:ascii="Arial" w:hAnsi="Arial" w:cs="Arial"/>
          <w:noProof/>
          <w:lang w:val="en-GB"/>
        </w:rPr>
        <w:t>03 October</w:t>
      </w:r>
      <w:r w:rsidR="00264682" w:rsidRPr="005407C3">
        <w:rPr>
          <w:rFonts w:ascii="Arial" w:hAnsi="Arial" w:cs="Arial"/>
          <w:noProof/>
          <w:lang w:val="en-GB"/>
        </w:rPr>
        <w:t xml:space="preserve"> </w:t>
      </w:r>
      <w:r w:rsidR="71CB63F9" w:rsidRPr="005407C3">
        <w:rPr>
          <w:rFonts w:ascii="Arial" w:hAnsi="Arial" w:cs="Arial"/>
          <w:noProof/>
          <w:lang w:val="en-GB"/>
        </w:rPr>
        <w:t>202</w:t>
      </w:r>
      <w:r w:rsidR="004A003D" w:rsidRPr="005407C3">
        <w:rPr>
          <w:rFonts w:ascii="Arial" w:hAnsi="Arial" w:cs="Arial"/>
          <w:noProof/>
          <w:lang w:val="en-GB"/>
        </w:rPr>
        <w:t>3</w:t>
      </w:r>
      <w:r w:rsidR="71CB63F9" w:rsidRPr="005407C3">
        <w:rPr>
          <w:rFonts w:ascii="Arial" w:hAnsi="Arial" w:cs="Arial"/>
          <w:noProof/>
          <w:lang w:val="en-GB"/>
        </w:rPr>
        <w:t xml:space="preserve"> </w:t>
      </w:r>
      <w:r w:rsidR="68F947B4" w:rsidRPr="005407C3">
        <w:rPr>
          <w:rFonts w:ascii="Arial" w:hAnsi="Arial" w:cs="Arial"/>
          <w:noProof/>
          <w:lang w:val="en-GB"/>
        </w:rPr>
        <w:t>until</w:t>
      </w:r>
      <w:r w:rsidR="71CB63F9" w:rsidRPr="005407C3">
        <w:rPr>
          <w:rFonts w:ascii="Arial" w:hAnsi="Arial" w:cs="Arial"/>
          <w:noProof/>
          <w:lang w:val="en-GB"/>
        </w:rPr>
        <w:t xml:space="preserve"> </w:t>
      </w:r>
      <w:r w:rsidR="004A003D" w:rsidRPr="005407C3">
        <w:rPr>
          <w:rFonts w:ascii="Arial" w:hAnsi="Arial" w:cs="Arial"/>
          <w:noProof/>
          <w:lang w:val="en-GB"/>
        </w:rPr>
        <w:t>30</w:t>
      </w:r>
      <w:r w:rsidR="71CB63F9" w:rsidRPr="005407C3">
        <w:rPr>
          <w:rFonts w:ascii="Arial" w:hAnsi="Arial" w:cs="Arial"/>
          <w:noProof/>
          <w:lang w:val="en-GB"/>
        </w:rPr>
        <w:t xml:space="preserve"> </w:t>
      </w:r>
      <w:r w:rsidR="00A46FD6" w:rsidRPr="005407C3">
        <w:rPr>
          <w:rFonts w:ascii="Arial" w:hAnsi="Arial" w:cs="Arial"/>
          <w:noProof/>
          <w:lang w:val="en-GB"/>
        </w:rPr>
        <w:t>November</w:t>
      </w:r>
      <w:r w:rsidR="71CB63F9" w:rsidRPr="005407C3">
        <w:rPr>
          <w:rFonts w:ascii="Arial" w:hAnsi="Arial" w:cs="Arial"/>
          <w:noProof/>
          <w:lang w:val="en-GB"/>
        </w:rPr>
        <w:t xml:space="preserve"> 202</w:t>
      </w:r>
      <w:r w:rsidR="004A003D" w:rsidRPr="005407C3">
        <w:rPr>
          <w:rFonts w:ascii="Arial" w:hAnsi="Arial" w:cs="Arial"/>
          <w:noProof/>
          <w:lang w:val="en-GB"/>
        </w:rPr>
        <w:t>3</w:t>
      </w:r>
      <w:r w:rsidR="005407C3">
        <w:rPr>
          <w:rFonts w:ascii="Arial" w:hAnsi="Arial" w:cs="Arial"/>
          <w:noProof/>
          <w:lang w:val="en-GB"/>
        </w:rPr>
        <w:t>.</w:t>
      </w:r>
    </w:p>
    <w:p w14:paraId="1253CDD5" w14:textId="00A4B296" w:rsidR="00C60C77" w:rsidRPr="005407C3" w:rsidRDefault="00C60C77" w:rsidP="005407C3">
      <w:pPr>
        <w:numPr>
          <w:ilvl w:val="0"/>
          <w:numId w:val="2"/>
        </w:numPr>
        <w:ind w:right="418"/>
        <w:rPr>
          <w:rFonts w:ascii="Arial" w:hAnsi="Arial" w:cs="Arial"/>
          <w:noProof/>
          <w:lang w:val="en-GB"/>
        </w:rPr>
      </w:pPr>
      <w:r w:rsidRPr="00424359">
        <w:rPr>
          <w:rFonts w:ascii="Arial" w:hAnsi="Arial" w:cs="Arial"/>
          <w:noProof/>
          <w:lang w:val="en-GB"/>
        </w:rPr>
        <w:t>For detailed Information on Responsibilities and Tasks of the consultant and of the client refer to the Terms of Reference Annex 1 to this contract</w:t>
      </w:r>
      <w:r w:rsidR="005407C3">
        <w:rPr>
          <w:rFonts w:ascii="Arial" w:hAnsi="Arial" w:cs="Arial"/>
          <w:noProof/>
          <w:lang w:val="en-GB"/>
        </w:rPr>
        <w:t>.</w:t>
      </w:r>
    </w:p>
    <w:p w14:paraId="6B84CC8A" w14:textId="7D2F18B1" w:rsidR="00C60C77" w:rsidRPr="005407C3" w:rsidRDefault="00C60C77" w:rsidP="005407C3">
      <w:pPr>
        <w:numPr>
          <w:ilvl w:val="0"/>
          <w:numId w:val="2"/>
        </w:numPr>
        <w:ind w:right="418"/>
        <w:rPr>
          <w:rFonts w:ascii="Arial" w:hAnsi="Arial" w:cs="Arial"/>
          <w:noProof/>
          <w:lang w:val="en-GB"/>
        </w:rPr>
      </w:pPr>
      <w:r w:rsidRPr="5DDA84EA">
        <w:rPr>
          <w:rFonts w:ascii="Arial" w:hAnsi="Arial" w:cs="Arial"/>
          <w:noProof/>
          <w:lang w:val="en-GB"/>
        </w:rPr>
        <w:t>As a Consultant, when carrying out activities on behalf of the Client, especially when travelling to project countries of the Client, the Consultant complies with German Red Cross “Rules of Conduct for staff and volunteers of the GRC on mission”, which becomes part of the contract as Annex 2</w:t>
      </w:r>
      <w:r w:rsidR="005407C3">
        <w:rPr>
          <w:rFonts w:ascii="Arial" w:hAnsi="Arial" w:cs="Arial"/>
          <w:noProof/>
          <w:lang w:val="en-GB"/>
        </w:rPr>
        <w:t>.</w:t>
      </w:r>
    </w:p>
    <w:p w14:paraId="3734C16A" w14:textId="6140E2B9" w:rsidR="003B45B0" w:rsidRPr="005407C3" w:rsidRDefault="7D9589FD" w:rsidP="005407C3">
      <w:pPr>
        <w:numPr>
          <w:ilvl w:val="0"/>
          <w:numId w:val="2"/>
        </w:numPr>
        <w:ind w:right="418"/>
        <w:rPr>
          <w:rFonts w:ascii="Arial" w:hAnsi="Arial" w:cs="Arial"/>
          <w:noProof/>
          <w:lang w:val="en-GB"/>
        </w:rPr>
      </w:pPr>
      <w:r w:rsidRPr="5DDA84EA">
        <w:rPr>
          <w:rFonts w:ascii="Arial" w:hAnsi="Arial" w:cs="Arial"/>
          <w:noProof/>
          <w:lang w:val="en-GB"/>
        </w:rPr>
        <w:t xml:space="preserve">The Consultant shall not be subject to any right of instruction or direction on the part of the Client with regard to the scheduling and organization of the course of activities. The Consultant undertakes to directly observe the safety and security instructions of the Client in connection with the execution of the contract. The Consultant shall immediately obey the instructions of the Client to carry out an immediate departure from a project country, if the security situation requires it after its evaluation, or if damage from the </w:t>
      </w:r>
      <w:r w:rsidR="2CBCE8C7" w:rsidRPr="5DDA84EA">
        <w:rPr>
          <w:rFonts w:ascii="Arial" w:hAnsi="Arial" w:cs="Arial"/>
          <w:noProof/>
          <w:lang w:val="en-GB"/>
        </w:rPr>
        <w:t xml:space="preserve">International </w:t>
      </w:r>
      <w:r w:rsidRPr="5DDA84EA">
        <w:rPr>
          <w:rFonts w:ascii="Arial" w:hAnsi="Arial" w:cs="Arial"/>
          <w:noProof/>
          <w:lang w:val="en-GB"/>
        </w:rPr>
        <w:t xml:space="preserve">Red Cross and Red Crescent Movement can be averted. </w:t>
      </w:r>
    </w:p>
    <w:p w14:paraId="30149EBB" w14:textId="77777777" w:rsidR="000C74C0" w:rsidRDefault="6166023D" w:rsidP="000C74C0">
      <w:pPr>
        <w:numPr>
          <w:ilvl w:val="0"/>
          <w:numId w:val="2"/>
        </w:numPr>
        <w:ind w:right="418"/>
        <w:rPr>
          <w:rFonts w:ascii="Arial" w:hAnsi="Arial" w:cs="Arial"/>
          <w:noProof/>
          <w:lang w:val="en-GB"/>
        </w:rPr>
      </w:pPr>
      <w:r w:rsidRPr="5DDA84EA">
        <w:rPr>
          <w:rFonts w:ascii="Arial" w:hAnsi="Arial" w:cs="Arial"/>
          <w:noProof/>
          <w:lang w:val="en-GB"/>
        </w:rPr>
        <w:t>The</w:t>
      </w:r>
      <w:r w:rsidRPr="005407C3">
        <w:rPr>
          <w:rFonts w:ascii="Arial" w:hAnsi="Arial" w:cs="Arial"/>
          <w:noProof/>
          <w:lang w:val="en-GB"/>
        </w:rPr>
        <w:t xml:space="preserve"> Consultant undertakes to perform the services to be rendered under this contract in a professional manner and to the best of its knowledge and belief.</w:t>
      </w:r>
    </w:p>
    <w:p w14:paraId="5056B23D" w14:textId="2DB5BCB1" w:rsidR="00B20271" w:rsidRPr="000C74C0" w:rsidRDefault="6166023D" w:rsidP="000C74C0">
      <w:pPr>
        <w:numPr>
          <w:ilvl w:val="0"/>
          <w:numId w:val="2"/>
        </w:numPr>
        <w:ind w:right="418"/>
        <w:rPr>
          <w:rFonts w:ascii="Arial" w:hAnsi="Arial" w:cs="Arial"/>
          <w:noProof/>
          <w:lang w:val="en-GB"/>
        </w:rPr>
      </w:pPr>
      <w:r w:rsidRPr="000C74C0">
        <w:rPr>
          <w:rFonts w:ascii="Arial" w:hAnsi="Arial" w:cs="Arial"/>
          <w:lang w:val="en-US"/>
        </w:rPr>
        <w:t>The following apply as integral parts of the contract:</w:t>
      </w:r>
    </w:p>
    <w:p w14:paraId="2900BC9B" w14:textId="3A53D07F" w:rsidR="00B20271" w:rsidRPr="00265062" w:rsidRDefault="6166023D" w:rsidP="008106EF">
      <w:pPr>
        <w:spacing w:line="240" w:lineRule="auto"/>
        <w:rPr>
          <w:rFonts w:ascii="Arial" w:hAnsi="Arial" w:cs="Arial"/>
          <w:lang w:val="en-US"/>
        </w:rPr>
      </w:pPr>
      <w:r w:rsidRPr="5DDA84EA">
        <w:rPr>
          <w:rFonts w:ascii="Arial" w:hAnsi="Arial" w:cs="Arial"/>
          <w:lang w:val="en-US"/>
        </w:rPr>
        <w:t>- Annex 1:</w:t>
      </w:r>
      <w:r w:rsidR="00B20271" w:rsidRPr="00EC1768">
        <w:rPr>
          <w:lang w:val="en-US"/>
        </w:rPr>
        <w:tab/>
      </w:r>
      <w:r w:rsidRPr="5DDA84EA">
        <w:rPr>
          <w:rFonts w:ascii="Arial" w:hAnsi="Arial" w:cs="Arial"/>
          <w:lang w:val="en-US"/>
        </w:rPr>
        <w:t xml:space="preserve">Terms of Reference </w:t>
      </w:r>
    </w:p>
    <w:p w14:paraId="1C50561C" w14:textId="77777777" w:rsidR="00B20271" w:rsidRPr="00265062" w:rsidRDefault="00B20271" w:rsidP="008106EF">
      <w:pPr>
        <w:spacing w:line="240" w:lineRule="auto"/>
        <w:ind w:left="1436" w:hanging="1380"/>
        <w:rPr>
          <w:rFonts w:ascii="Arial" w:hAnsi="Arial" w:cs="Arial"/>
          <w:lang w:val="en-US"/>
        </w:rPr>
      </w:pPr>
      <w:r w:rsidRPr="00265062">
        <w:rPr>
          <w:rFonts w:ascii="Arial" w:hAnsi="Arial" w:cs="Arial"/>
          <w:lang w:val="en-US"/>
        </w:rPr>
        <w:t>- Annex 2:</w:t>
      </w:r>
      <w:r w:rsidRPr="00265062">
        <w:rPr>
          <w:rFonts w:ascii="Arial" w:hAnsi="Arial" w:cs="Arial"/>
          <w:lang w:val="en-US"/>
        </w:rPr>
        <w:tab/>
        <w:t>Rules of Conduct for staff and volunteers of GRC on mission</w:t>
      </w:r>
    </w:p>
    <w:p w14:paraId="1FC267CA" w14:textId="1AA73A59" w:rsidR="00AC6D34" w:rsidRPr="00265062" w:rsidRDefault="00B20271" w:rsidP="00AC6D34">
      <w:pPr>
        <w:spacing w:line="240" w:lineRule="auto"/>
        <w:rPr>
          <w:rFonts w:ascii="Arial" w:hAnsi="Arial" w:cs="Arial"/>
          <w:lang w:val="en-US"/>
        </w:rPr>
      </w:pPr>
      <w:r w:rsidRPr="792EB4A2">
        <w:rPr>
          <w:rFonts w:ascii="Arial" w:hAnsi="Arial" w:cs="Arial"/>
          <w:lang w:val="en-US"/>
        </w:rPr>
        <w:lastRenderedPageBreak/>
        <w:t xml:space="preserve">- Annex 3: </w:t>
      </w:r>
      <w:r w:rsidRPr="00EC1768">
        <w:rPr>
          <w:lang w:val="en-US"/>
        </w:rPr>
        <w:tab/>
      </w:r>
      <w:r w:rsidR="00AC6D34" w:rsidRPr="00265062">
        <w:rPr>
          <w:rFonts w:ascii="Arial" w:hAnsi="Arial" w:cs="Arial"/>
          <w:lang w:val="en-US"/>
        </w:rPr>
        <w:t>Signed Declaration of conformity</w:t>
      </w:r>
      <w:r w:rsidR="00AC6D34" w:rsidRPr="792EB4A2">
        <w:rPr>
          <w:rFonts w:ascii="Arial" w:hAnsi="Arial" w:cs="Arial"/>
          <w:lang w:val="en-US"/>
        </w:rPr>
        <w:t xml:space="preserve"> </w:t>
      </w:r>
    </w:p>
    <w:p w14:paraId="7D394BA2" w14:textId="43757B72" w:rsidR="00783C26" w:rsidRPr="00404CA6" w:rsidRDefault="00B20271" w:rsidP="008106EF">
      <w:pPr>
        <w:spacing w:line="240" w:lineRule="auto"/>
        <w:rPr>
          <w:rFonts w:ascii="Arial" w:hAnsi="Arial" w:cs="Arial"/>
          <w:lang w:val="en-US"/>
        </w:rPr>
      </w:pPr>
      <w:r w:rsidRPr="00265062">
        <w:rPr>
          <w:rFonts w:ascii="Arial" w:hAnsi="Arial" w:cs="Arial"/>
          <w:lang w:val="en-US"/>
        </w:rPr>
        <w:t>- Annex 4:</w:t>
      </w:r>
      <w:r w:rsidRPr="00265062">
        <w:rPr>
          <w:rFonts w:ascii="Arial" w:hAnsi="Arial" w:cs="Arial"/>
          <w:lang w:val="en-US"/>
        </w:rPr>
        <w:tab/>
      </w:r>
      <w:r w:rsidR="00AC6D34" w:rsidRPr="792EB4A2">
        <w:rPr>
          <w:rFonts w:ascii="Arial" w:hAnsi="Arial" w:cs="Arial"/>
          <w:lang w:val="en-US"/>
        </w:rPr>
        <w:t xml:space="preserve">The offer of the Consultant as of </w:t>
      </w:r>
      <w:r w:rsidR="00AC6D34" w:rsidRPr="00AC6D34">
        <w:rPr>
          <w:rFonts w:ascii="Arial" w:hAnsi="Arial" w:cs="Arial"/>
          <w:highlight w:val="yellow"/>
          <w:lang w:val="en-US"/>
        </w:rPr>
        <w:t>xxx</w:t>
      </w:r>
    </w:p>
    <w:p w14:paraId="1A178ED3" w14:textId="77777777" w:rsidR="00783C26" w:rsidRPr="000254DA" w:rsidRDefault="00783C26" w:rsidP="000254DA">
      <w:pPr>
        <w:spacing w:after="210" w:line="265" w:lineRule="auto"/>
        <w:ind w:left="10" w:right="76" w:hanging="10"/>
        <w:jc w:val="center"/>
        <w:rPr>
          <w:rFonts w:ascii="Arial" w:hAnsi="Arial" w:cs="Arial"/>
          <w:noProof/>
          <w:sz w:val="26"/>
          <w:lang w:val="en-GB"/>
        </w:rPr>
      </w:pPr>
      <w:r w:rsidRPr="00424359">
        <w:rPr>
          <w:rFonts w:ascii="Arial" w:hAnsi="Arial" w:cs="Arial"/>
          <w:noProof/>
          <w:sz w:val="26"/>
          <w:lang w:val="en-GB"/>
        </w:rPr>
        <w:t>Art. 2 Duties of the Client</w:t>
      </w:r>
    </w:p>
    <w:p w14:paraId="14CEE9A1" w14:textId="75A4C963" w:rsidR="00783C26" w:rsidRPr="00424359" w:rsidRDefault="00783C26" w:rsidP="00783C26">
      <w:pPr>
        <w:numPr>
          <w:ilvl w:val="0"/>
          <w:numId w:val="2"/>
        </w:numPr>
        <w:spacing w:after="204"/>
        <w:ind w:right="418"/>
        <w:rPr>
          <w:rFonts w:ascii="Arial" w:hAnsi="Arial" w:cs="Arial"/>
          <w:noProof/>
          <w:lang w:val="en-GB"/>
        </w:rPr>
      </w:pPr>
      <w:r w:rsidRPr="00424359">
        <w:rPr>
          <w:rFonts w:ascii="Arial" w:hAnsi="Arial" w:cs="Arial"/>
          <w:noProof/>
          <w:lang w:val="en-GB"/>
        </w:rPr>
        <w:t xml:space="preserve">The Client shall pay </w:t>
      </w:r>
      <w:r w:rsidR="0086077F" w:rsidRPr="00424359">
        <w:rPr>
          <w:rFonts w:ascii="Arial" w:hAnsi="Arial" w:cs="Arial"/>
          <w:noProof/>
          <w:lang w:val="en-GB"/>
        </w:rPr>
        <w:t xml:space="preserve">a </w:t>
      </w:r>
      <w:r w:rsidRPr="00424359">
        <w:rPr>
          <w:rFonts w:ascii="Arial" w:hAnsi="Arial" w:cs="Arial"/>
          <w:noProof/>
          <w:lang w:val="en-GB"/>
        </w:rPr>
        <w:t xml:space="preserve">total of </w:t>
      </w:r>
      <w:r w:rsidR="004A003D" w:rsidRPr="004A003D">
        <w:rPr>
          <w:rFonts w:ascii="Arial" w:hAnsi="Arial" w:cs="Arial"/>
          <w:noProof/>
          <w:highlight w:val="yellow"/>
          <w:lang w:val="en-GB"/>
        </w:rPr>
        <w:t>xxx</w:t>
      </w:r>
      <w:r w:rsidRPr="00424359">
        <w:rPr>
          <w:rFonts w:ascii="Arial" w:hAnsi="Arial" w:cs="Arial"/>
          <w:noProof/>
          <w:highlight w:val="yellow"/>
          <w:lang w:val="en-GB"/>
        </w:rPr>
        <w:t xml:space="preserve"> €</w:t>
      </w:r>
      <w:r w:rsidRPr="00424359">
        <w:rPr>
          <w:rFonts w:ascii="Arial" w:hAnsi="Arial" w:cs="Arial"/>
          <w:noProof/>
          <w:lang w:val="en-GB"/>
        </w:rPr>
        <w:t xml:space="preserve"> to the Consultant </w:t>
      </w:r>
      <w:r w:rsidRPr="00B0442F">
        <w:rPr>
          <w:rFonts w:ascii="Arial" w:hAnsi="Arial" w:cs="Arial"/>
          <w:noProof/>
          <w:lang w:val="en-GB"/>
        </w:rPr>
        <w:t>(</w:t>
      </w:r>
      <w:r w:rsidR="008045BF" w:rsidRPr="00B0442F">
        <w:rPr>
          <w:rFonts w:ascii="Arial" w:hAnsi="Arial" w:cs="Arial"/>
          <w:lang w:val="en-GB"/>
        </w:rPr>
        <w:t xml:space="preserve">plus the respective statutory value added tax valid at the time of invoicing </w:t>
      </w:r>
      <w:r w:rsidRPr="00B0442F">
        <w:rPr>
          <w:rFonts w:ascii="Arial" w:hAnsi="Arial" w:cs="Arial"/>
          <w:noProof/>
          <w:lang w:val="en-GB"/>
        </w:rPr>
        <w:t>to be paid by the Client in Germany)</w:t>
      </w:r>
      <w:r w:rsidRPr="00424359">
        <w:rPr>
          <w:rFonts w:ascii="Arial" w:hAnsi="Arial" w:cs="Arial"/>
          <w:noProof/>
          <w:lang w:val="en-GB"/>
        </w:rPr>
        <w:t xml:space="preserve"> for the services listed in Art. 1. according to the offer of the consultant as of </w:t>
      </w:r>
      <w:r w:rsidR="004A003D">
        <w:rPr>
          <w:rFonts w:ascii="Arial" w:hAnsi="Arial" w:cs="Arial"/>
          <w:noProof/>
          <w:highlight w:val="yellow"/>
          <w:lang w:val="en-GB"/>
        </w:rPr>
        <w:t>xx</w:t>
      </w:r>
      <w:r w:rsidR="6C0C16BA" w:rsidRPr="0606415F">
        <w:rPr>
          <w:rFonts w:ascii="Arial" w:hAnsi="Arial" w:cs="Arial"/>
          <w:noProof/>
          <w:highlight w:val="yellow"/>
          <w:lang w:val="en-GB"/>
        </w:rPr>
        <w:t>.</w:t>
      </w:r>
      <w:r w:rsidR="004A003D">
        <w:rPr>
          <w:rFonts w:ascii="Arial" w:hAnsi="Arial" w:cs="Arial"/>
          <w:noProof/>
          <w:highlight w:val="yellow"/>
          <w:lang w:val="en-GB"/>
        </w:rPr>
        <w:t>xx</w:t>
      </w:r>
      <w:r w:rsidR="0086077F" w:rsidRPr="00424359">
        <w:rPr>
          <w:rFonts w:ascii="Arial" w:hAnsi="Arial" w:cs="Arial"/>
          <w:noProof/>
          <w:highlight w:val="yellow"/>
          <w:lang w:val="en-GB"/>
        </w:rPr>
        <w:t>.202</w:t>
      </w:r>
      <w:r w:rsidR="004A003D">
        <w:rPr>
          <w:rFonts w:ascii="Arial" w:hAnsi="Arial" w:cs="Arial"/>
          <w:lang w:val="en-GB"/>
        </w:rPr>
        <w:t>3</w:t>
      </w:r>
      <w:r w:rsidR="0003616D" w:rsidRPr="00424359">
        <w:rPr>
          <w:rFonts w:ascii="Arial" w:hAnsi="Arial" w:cs="Arial"/>
          <w:noProof/>
          <w:lang w:val="en-GB"/>
        </w:rPr>
        <w:t xml:space="preserve"> Annex </w:t>
      </w:r>
      <w:r w:rsidR="00651EF1">
        <w:rPr>
          <w:rFonts w:ascii="Arial" w:hAnsi="Arial" w:cs="Arial"/>
          <w:noProof/>
          <w:lang w:val="en-GB"/>
        </w:rPr>
        <w:t>4</w:t>
      </w:r>
      <w:r w:rsidR="0003616D" w:rsidRPr="00424359">
        <w:rPr>
          <w:rFonts w:ascii="Arial" w:hAnsi="Arial" w:cs="Arial"/>
          <w:noProof/>
          <w:lang w:val="en-GB"/>
        </w:rPr>
        <w:t xml:space="preserve"> to this contract</w:t>
      </w:r>
      <w:r w:rsidRPr="00424359">
        <w:rPr>
          <w:rFonts w:ascii="Arial" w:hAnsi="Arial" w:cs="Arial"/>
          <w:noProof/>
          <w:lang w:val="en-GB"/>
        </w:rPr>
        <w:t xml:space="preserve">. No additional remuneration shall be paid, unless additional services are mutually agreed upon between the Client and the Consultant. </w:t>
      </w:r>
    </w:p>
    <w:p w14:paraId="60C87198" w14:textId="38C22E35" w:rsidR="00783C26" w:rsidRPr="00424359" w:rsidRDefault="6D8BF654" w:rsidP="5DDA84EA">
      <w:pPr>
        <w:numPr>
          <w:ilvl w:val="0"/>
          <w:numId w:val="2"/>
        </w:numPr>
        <w:spacing w:after="233"/>
        <w:ind w:right="418"/>
        <w:rPr>
          <w:rFonts w:asciiTheme="minorHAnsi" w:eastAsiaTheme="minorEastAsia" w:hAnsiTheme="minorHAnsi" w:cstheme="minorBidi"/>
          <w:noProof/>
          <w:color w:val="000000" w:themeColor="text1"/>
          <w:szCs w:val="24"/>
          <w:lang w:val="en-GB"/>
        </w:rPr>
      </w:pPr>
      <w:r w:rsidRPr="5DDA84EA">
        <w:rPr>
          <w:rFonts w:ascii="Arial" w:hAnsi="Arial" w:cs="Arial"/>
          <w:noProof/>
          <w:highlight w:val="yellow"/>
          <w:lang w:val="en-GB"/>
        </w:rPr>
        <w:t>The Consultant will organize all travel arrangements, including booking of hotels and flights, prior consultation, and agreement with the Client</w:t>
      </w:r>
      <w:r w:rsidRPr="5DDA84EA">
        <w:rPr>
          <w:rFonts w:ascii="Arial" w:hAnsi="Arial" w:cs="Arial"/>
          <w:lang w:val="en-US"/>
        </w:rPr>
        <w:t>.</w:t>
      </w:r>
      <w:r w:rsidRPr="5DDA84EA">
        <w:rPr>
          <w:rFonts w:ascii="Arial" w:hAnsi="Arial" w:cs="Arial"/>
          <w:noProof/>
          <w:lang w:val="en-GB"/>
        </w:rPr>
        <w:t xml:space="preserve"> </w:t>
      </w:r>
      <w:r w:rsidR="43F8601B" w:rsidRPr="5DDA84EA">
        <w:rPr>
          <w:rFonts w:ascii="Arial" w:hAnsi="Arial" w:cs="Arial"/>
          <w:noProof/>
          <w:lang w:val="en-GB"/>
        </w:rPr>
        <w:t>The costs will be covered by the consultant</w:t>
      </w:r>
      <w:r w:rsidR="2139D15B" w:rsidRPr="5DDA84EA">
        <w:rPr>
          <w:rFonts w:ascii="Arial" w:hAnsi="Arial" w:cs="Arial"/>
          <w:noProof/>
          <w:lang w:val="en-GB"/>
        </w:rPr>
        <w:t xml:space="preserve"> in line with the submitted offer</w:t>
      </w:r>
      <w:r w:rsidR="43F8601B" w:rsidRPr="5DDA84EA">
        <w:rPr>
          <w:rFonts w:ascii="Arial" w:hAnsi="Arial" w:cs="Arial"/>
          <w:noProof/>
          <w:lang w:val="en-GB"/>
        </w:rPr>
        <w:t>.</w:t>
      </w:r>
      <w:r w:rsidR="4B475E15" w:rsidRPr="5DDA84EA">
        <w:rPr>
          <w:rFonts w:ascii="Arial" w:hAnsi="Arial" w:cs="Arial"/>
          <w:noProof/>
          <w:lang w:val="en-GB"/>
        </w:rPr>
        <w:t xml:space="preserve"> </w:t>
      </w:r>
      <w:r w:rsidR="63DBDB43" w:rsidRPr="5DDA84EA">
        <w:rPr>
          <w:rFonts w:ascii="Arial" w:hAnsi="Arial" w:cs="Arial"/>
          <w:noProof/>
          <w:lang w:val="en-GB"/>
        </w:rPr>
        <w:t xml:space="preserve">Remuneration shall be payable in three </w:t>
      </w:r>
      <w:r w:rsidR="63DBDB43" w:rsidRPr="5DDA84EA">
        <w:rPr>
          <w:rFonts w:ascii="Arial" w:hAnsi="Arial" w:cs="Arial"/>
          <w:lang w:val="en-GB"/>
        </w:rPr>
        <w:t>instalments</w:t>
      </w:r>
      <w:r w:rsidR="63DBDB43" w:rsidRPr="5DDA84EA">
        <w:rPr>
          <w:rFonts w:ascii="Arial" w:hAnsi="Arial" w:cs="Arial"/>
          <w:noProof/>
          <w:lang w:val="en-GB"/>
        </w:rPr>
        <w:t xml:space="preserve"> as follows:</w:t>
      </w:r>
    </w:p>
    <w:p w14:paraId="04BAD04E" w14:textId="649C98D5" w:rsidR="00783C26" w:rsidRPr="00424359" w:rsidRDefault="00ED009C" w:rsidP="00783C26">
      <w:pPr>
        <w:pStyle w:val="Listenabsatz"/>
        <w:numPr>
          <w:ilvl w:val="0"/>
          <w:numId w:val="8"/>
        </w:numPr>
        <w:spacing w:after="38"/>
        <w:ind w:right="418"/>
        <w:rPr>
          <w:rFonts w:ascii="Arial" w:hAnsi="Arial" w:cs="Arial"/>
          <w:noProof/>
          <w:lang w:val="en-GB"/>
        </w:rPr>
      </w:pPr>
      <w:r>
        <w:rPr>
          <w:rFonts w:ascii="Arial" w:hAnsi="Arial" w:cs="Arial"/>
          <w:noProof/>
          <w:highlight w:val="yellow"/>
          <w:lang w:val="en-GB"/>
        </w:rPr>
        <w:t>25</w:t>
      </w:r>
      <w:r w:rsidR="00783C26" w:rsidRPr="00424359">
        <w:rPr>
          <w:rFonts w:ascii="Arial" w:hAnsi="Arial" w:cs="Arial"/>
          <w:noProof/>
          <w:highlight w:val="yellow"/>
          <w:lang w:val="en-GB"/>
        </w:rPr>
        <w:t>%</w:t>
      </w:r>
      <w:r w:rsidR="00783C26" w:rsidRPr="00424359">
        <w:rPr>
          <w:rFonts w:ascii="Arial" w:hAnsi="Arial" w:cs="Arial"/>
          <w:noProof/>
          <w:lang w:val="en-GB"/>
        </w:rPr>
        <w:t xml:space="preserve"> upon </w:t>
      </w:r>
      <w:r w:rsidR="00783C26" w:rsidRPr="00424359">
        <w:rPr>
          <w:rFonts w:ascii="Arial" w:hAnsi="Arial" w:cs="Arial"/>
          <w:noProof/>
          <w:highlight w:val="yellow"/>
          <w:lang w:val="en-GB"/>
        </w:rPr>
        <w:t>submission of the final inception report</w:t>
      </w:r>
      <w:r w:rsidR="00783C26" w:rsidRPr="00424359">
        <w:rPr>
          <w:rFonts w:ascii="Arial" w:hAnsi="Arial" w:cs="Arial"/>
          <w:noProof/>
          <w:lang w:val="en-GB"/>
        </w:rPr>
        <w:t>,</w:t>
      </w:r>
    </w:p>
    <w:p w14:paraId="0DD5EC06" w14:textId="20ADC3AB" w:rsidR="00783C26" w:rsidRPr="00424359" w:rsidRDefault="00ED009C" w:rsidP="00783C26">
      <w:pPr>
        <w:pStyle w:val="Listenabsatz"/>
        <w:numPr>
          <w:ilvl w:val="0"/>
          <w:numId w:val="8"/>
        </w:numPr>
        <w:spacing w:after="24"/>
        <w:ind w:right="418"/>
        <w:rPr>
          <w:rFonts w:ascii="Arial" w:hAnsi="Arial" w:cs="Arial"/>
          <w:noProof/>
          <w:lang w:val="en-GB"/>
        </w:rPr>
      </w:pPr>
      <w:r>
        <w:rPr>
          <w:rFonts w:ascii="Arial" w:hAnsi="Arial" w:cs="Arial"/>
          <w:noProof/>
          <w:highlight w:val="yellow"/>
          <w:lang w:val="en-GB"/>
        </w:rPr>
        <w:t>25</w:t>
      </w:r>
      <w:r w:rsidR="00783C26" w:rsidRPr="00424359">
        <w:rPr>
          <w:rFonts w:ascii="Arial" w:hAnsi="Arial" w:cs="Arial"/>
          <w:noProof/>
          <w:highlight w:val="yellow"/>
          <w:lang w:val="en-GB"/>
        </w:rPr>
        <w:t>%</w:t>
      </w:r>
      <w:r w:rsidR="00783C26" w:rsidRPr="00424359">
        <w:rPr>
          <w:rFonts w:ascii="Arial" w:hAnsi="Arial" w:cs="Arial"/>
          <w:noProof/>
          <w:lang w:val="en-GB"/>
        </w:rPr>
        <w:t xml:space="preserve"> upon </w:t>
      </w:r>
      <w:r w:rsidR="00783C26" w:rsidRPr="00424359">
        <w:rPr>
          <w:rFonts w:ascii="Arial" w:hAnsi="Arial" w:cs="Arial"/>
          <w:noProof/>
          <w:highlight w:val="yellow"/>
          <w:lang w:val="en-GB"/>
        </w:rPr>
        <w:t xml:space="preserve">completion of data collection and submission of the draft </w:t>
      </w:r>
      <w:r w:rsidR="003B2DE8">
        <w:rPr>
          <w:rFonts w:ascii="Arial" w:hAnsi="Arial" w:cs="Arial"/>
          <w:noProof/>
          <w:highlight w:val="yellow"/>
          <w:lang w:val="en-GB"/>
        </w:rPr>
        <w:t>deliverable</w:t>
      </w:r>
      <w:r w:rsidR="00783C26" w:rsidRPr="00424359">
        <w:rPr>
          <w:rFonts w:ascii="Arial" w:hAnsi="Arial" w:cs="Arial"/>
          <w:noProof/>
          <w:lang w:val="en-GB"/>
        </w:rPr>
        <w:t>,</w:t>
      </w:r>
    </w:p>
    <w:p w14:paraId="62CC51AF" w14:textId="0A2AA266" w:rsidR="00783C26" w:rsidRPr="00424359" w:rsidRDefault="00ED009C" w:rsidP="00783C26">
      <w:pPr>
        <w:pStyle w:val="Listenabsatz"/>
        <w:numPr>
          <w:ilvl w:val="0"/>
          <w:numId w:val="8"/>
        </w:numPr>
        <w:spacing w:after="199"/>
        <w:ind w:right="418"/>
        <w:rPr>
          <w:rFonts w:ascii="Arial" w:hAnsi="Arial" w:cs="Arial"/>
          <w:noProof/>
          <w:lang w:val="en-GB"/>
        </w:rPr>
      </w:pPr>
      <w:r>
        <w:rPr>
          <w:rFonts w:ascii="Arial" w:hAnsi="Arial" w:cs="Arial"/>
          <w:noProof/>
          <w:highlight w:val="yellow"/>
          <w:lang w:val="en-GB"/>
        </w:rPr>
        <w:t>50</w:t>
      </w:r>
      <w:r w:rsidR="00783C26" w:rsidRPr="00424359">
        <w:rPr>
          <w:rFonts w:ascii="Arial" w:hAnsi="Arial" w:cs="Arial"/>
          <w:noProof/>
          <w:highlight w:val="yellow"/>
          <w:lang w:val="en-GB"/>
        </w:rPr>
        <w:t>%</w:t>
      </w:r>
      <w:r w:rsidR="00783C26" w:rsidRPr="00424359">
        <w:rPr>
          <w:rFonts w:ascii="Arial" w:hAnsi="Arial" w:cs="Arial"/>
          <w:noProof/>
          <w:lang w:val="en-GB"/>
        </w:rPr>
        <w:t xml:space="preserve"> upon </w:t>
      </w:r>
      <w:r w:rsidR="00783C26" w:rsidRPr="00424359">
        <w:rPr>
          <w:rFonts w:ascii="Arial" w:hAnsi="Arial" w:cs="Arial"/>
          <w:noProof/>
          <w:highlight w:val="yellow"/>
          <w:lang w:val="en-GB"/>
        </w:rPr>
        <w:t>finalisation of the assignment</w:t>
      </w:r>
      <w:r w:rsidR="00783C26" w:rsidRPr="00424359">
        <w:rPr>
          <w:rFonts w:ascii="Arial" w:hAnsi="Arial" w:cs="Arial"/>
          <w:noProof/>
          <w:lang w:val="en-GB"/>
        </w:rPr>
        <w:t>.</w:t>
      </w:r>
    </w:p>
    <w:p w14:paraId="5366868E" w14:textId="11B2DBBD" w:rsidR="00783C26" w:rsidRPr="00424359" w:rsidRDefault="00783C26" w:rsidP="00783C26">
      <w:pPr>
        <w:ind w:left="158" w:right="418"/>
        <w:rPr>
          <w:rFonts w:ascii="Arial" w:hAnsi="Arial" w:cs="Arial"/>
          <w:noProof/>
          <w:lang w:val="en-GB"/>
        </w:rPr>
      </w:pPr>
      <w:r w:rsidRPr="00424359">
        <w:rPr>
          <w:rFonts w:ascii="Arial" w:hAnsi="Arial" w:cs="Arial"/>
          <w:noProof/>
          <w:lang w:val="en-GB"/>
        </w:rPr>
        <w:t xml:space="preserve">They shall be payable </w:t>
      </w:r>
      <w:r w:rsidR="003E3C3A">
        <w:rPr>
          <w:rFonts w:ascii="Arial" w:hAnsi="Arial" w:cs="Arial"/>
          <w:noProof/>
          <w:lang w:val="en-GB"/>
        </w:rPr>
        <w:t xml:space="preserve">30 </w:t>
      </w:r>
      <w:r w:rsidRPr="00424359">
        <w:rPr>
          <w:rFonts w:ascii="Arial" w:hAnsi="Arial" w:cs="Arial"/>
          <w:noProof/>
          <w:lang w:val="en-GB"/>
        </w:rPr>
        <w:t>days after acceptance of the service and the submission of a written auditable invoice by the Consultant to the Client.</w:t>
      </w:r>
    </w:p>
    <w:p w14:paraId="31C18D23" w14:textId="4D5CB5B4" w:rsidR="00783C26" w:rsidRPr="00424359" w:rsidRDefault="63DBDB43" w:rsidP="00783C26">
      <w:pPr>
        <w:numPr>
          <w:ilvl w:val="0"/>
          <w:numId w:val="2"/>
        </w:numPr>
        <w:ind w:right="418"/>
        <w:rPr>
          <w:rFonts w:ascii="Arial" w:hAnsi="Arial" w:cs="Arial"/>
          <w:noProof/>
          <w:lang w:val="en-GB"/>
        </w:rPr>
      </w:pPr>
      <w:r w:rsidRPr="5DDA84EA">
        <w:rPr>
          <w:rFonts w:ascii="Arial" w:hAnsi="Arial" w:cs="Arial"/>
          <w:noProof/>
          <w:lang w:val="en-GB"/>
        </w:rPr>
        <w:t xml:space="preserve">The Client </w:t>
      </w:r>
      <w:r w:rsidR="5FB50639" w:rsidRPr="5DDA84EA">
        <w:rPr>
          <w:rFonts w:ascii="Arial" w:hAnsi="Arial" w:cs="Arial"/>
          <w:noProof/>
          <w:lang w:val="en-GB"/>
        </w:rPr>
        <w:t>appoints</w:t>
      </w:r>
      <w:r w:rsidR="720D1D2E" w:rsidRPr="5DDA84EA">
        <w:rPr>
          <w:rFonts w:ascii="Arial" w:hAnsi="Arial" w:cs="Arial"/>
          <w:noProof/>
          <w:lang w:val="en-GB"/>
        </w:rPr>
        <w:t xml:space="preserve"> </w:t>
      </w:r>
      <w:r w:rsidR="0043619D">
        <w:rPr>
          <w:rFonts w:ascii="Arial" w:hAnsi="Arial" w:cs="Arial"/>
          <w:noProof/>
          <w:lang w:val="en-GB"/>
        </w:rPr>
        <w:t>Catrin Braun</w:t>
      </w:r>
      <w:r w:rsidR="1053973B" w:rsidRPr="5DDA84EA">
        <w:rPr>
          <w:rFonts w:ascii="Arial" w:hAnsi="Arial" w:cs="Arial"/>
          <w:noProof/>
          <w:lang w:val="en-GB"/>
        </w:rPr>
        <w:t>,</w:t>
      </w:r>
      <w:r w:rsidR="00AE6813">
        <w:rPr>
          <w:rFonts w:ascii="Arial" w:hAnsi="Arial" w:cs="Arial"/>
          <w:noProof/>
          <w:lang w:val="en-GB"/>
        </w:rPr>
        <w:t xml:space="preserve"> Country</w:t>
      </w:r>
      <w:r w:rsidR="0043619D">
        <w:rPr>
          <w:rFonts w:ascii="Arial" w:hAnsi="Arial" w:cs="Arial"/>
          <w:noProof/>
          <w:lang w:val="en-GB"/>
        </w:rPr>
        <w:t xml:space="preserve"> Manager </w:t>
      </w:r>
      <w:r w:rsidR="00AE6813">
        <w:rPr>
          <w:rFonts w:ascii="Arial" w:hAnsi="Arial" w:cs="Arial"/>
          <w:noProof/>
          <w:lang w:val="en-GB"/>
        </w:rPr>
        <w:t xml:space="preserve">Philippines </w:t>
      </w:r>
      <w:r w:rsidR="0043619D">
        <w:rPr>
          <w:rFonts w:ascii="Arial" w:hAnsi="Arial" w:cs="Arial"/>
          <w:noProof/>
          <w:lang w:val="en-GB"/>
        </w:rPr>
        <w:t>(c.braun@drk.de),</w:t>
      </w:r>
      <w:r w:rsidR="5FB50639" w:rsidRPr="5DDA84EA">
        <w:rPr>
          <w:rFonts w:ascii="Arial" w:hAnsi="Arial" w:cs="Arial"/>
          <w:noProof/>
          <w:lang w:val="en-GB"/>
        </w:rPr>
        <w:t xml:space="preserve"> as</w:t>
      </w:r>
      <w:r w:rsidRPr="5DDA84EA">
        <w:rPr>
          <w:rFonts w:ascii="Arial" w:hAnsi="Arial" w:cs="Arial"/>
          <w:noProof/>
          <w:lang w:val="en-GB"/>
        </w:rPr>
        <w:t xml:space="preserve"> main contact person from the International Cooperation </w:t>
      </w:r>
      <w:r w:rsidR="5FB50639" w:rsidRPr="5DDA84EA">
        <w:rPr>
          <w:rFonts w:ascii="Arial" w:hAnsi="Arial" w:cs="Arial"/>
          <w:noProof/>
          <w:lang w:val="en-GB"/>
        </w:rPr>
        <w:t xml:space="preserve">Division </w:t>
      </w:r>
      <w:r w:rsidR="2A283501" w:rsidRPr="5DDA84EA">
        <w:rPr>
          <w:rFonts w:ascii="Arial" w:hAnsi="Arial" w:cs="Arial"/>
          <w:noProof/>
          <w:lang w:val="en-GB"/>
        </w:rPr>
        <w:t xml:space="preserve">in Berlin </w:t>
      </w:r>
      <w:r w:rsidRPr="5DDA84EA">
        <w:rPr>
          <w:rFonts w:ascii="Arial" w:hAnsi="Arial" w:cs="Arial"/>
          <w:noProof/>
          <w:lang w:val="en-GB"/>
        </w:rPr>
        <w:t>to ensure that there is an adequate flow of communication.</w:t>
      </w:r>
    </w:p>
    <w:p w14:paraId="69503E4C" w14:textId="77777777" w:rsidR="00783C26" w:rsidRPr="00404CA6" w:rsidRDefault="00783C26" w:rsidP="000254DA">
      <w:pPr>
        <w:spacing w:after="210" w:line="265" w:lineRule="auto"/>
        <w:ind w:left="10" w:right="76" w:hanging="10"/>
        <w:jc w:val="center"/>
        <w:rPr>
          <w:rFonts w:ascii="Arial" w:hAnsi="Arial" w:cs="Arial"/>
          <w:noProof/>
          <w:sz w:val="26"/>
          <w:lang w:val="en-GB"/>
        </w:rPr>
      </w:pPr>
      <w:r w:rsidRPr="00404CA6">
        <w:rPr>
          <w:rFonts w:ascii="Arial" w:hAnsi="Arial" w:cs="Arial"/>
          <w:noProof/>
          <w:sz w:val="26"/>
          <w:lang w:val="en-GB"/>
        </w:rPr>
        <w:t>Art. 3 Right of termination</w:t>
      </w:r>
    </w:p>
    <w:p w14:paraId="4672C77F" w14:textId="08A9CA13" w:rsidR="00783C26" w:rsidRPr="00424359" w:rsidRDefault="00783C26" w:rsidP="25A9B10F">
      <w:pPr>
        <w:ind w:left="0" w:right="418" w:firstLine="0"/>
        <w:rPr>
          <w:rFonts w:ascii="Arial" w:hAnsi="Arial" w:cs="Arial"/>
          <w:noProof/>
          <w:lang w:val="en-GB"/>
        </w:rPr>
      </w:pPr>
      <w:r w:rsidRPr="25A9B10F">
        <w:rPr>
          <w:rFonts w:ascii="Arial" w:hAnsi="Arial" w:cs="Arial"/>
          <w:noProof/>
          <w:lang w:val="en-GB"/>
        </w:rPr>
        <w:t xml:space="preserve">(1) </w:t>
      </w:r>
      <w:r w:rsidR="30445648" w:rsidRPr="25A9B10F">
        <w:rPr>
          <w:rFonts w:ascii="Arial" w:hAnsi="Arial" w:cs="Arial"/>
          <w:noProof/>
          <w:lang w:val="en-GB"/>
        </w:rPr>
        <w:t xml:space="preserve"> </w:t>
      </w:r>
      <w:r w:rsidR="5BAD4DAC" w:rsidRPr="25A9B10F">
        <w:rPr>
          <w:rFonts w:ascii="Arial" w:hAnsi="Arial" w:cs="Arial"/>
          <w:noProof/>
          <w:lang w:val="en-GB"/>
        </w:rPr>
        <w:t xml:space="preserve">Ordinary termination is excluded. </w:t>
      </w:r>
    </w:p>
    <w:p w14:paraId="3C5C1D77" w14:textId="2ED74261" w:rsidR="00783C26" w:rsidRPr="00424359" w:rsidRDefault="00783C26" w:rsidP="00783C26">
      <w:pPr>
        <w:spacing w:after="272"/>
        <w:ind w:left="0" w:right="418" w:firstLine="0"/>
        <w:rPr>
          <w:rFonts w:ascii="Arial" w:hAnsi="Arial" w:cs="Arial"/>
          <w:noProof/>
          <w:lang w:val="en-GB"/>
        </w:rPr>
      </w:pPr>
      <w:r w:rsidRPr="25A9B10F">
        <w:rPr>
          <w:rFonts w:ascii="Arial" w:hAnsi="Arial" w:cs="Arial"/>
          <w:noProof/>
          <w:lang w:val="en-GB"/>
        </w:rPr>
        <w:t xml:space="preserve">(2) </w:t>
      </w:r>
      <w:r w:rsidR="5DACEB07" w:rsidRPr="25A9B10F">
        <w:rPr>
          <w:rFonts w:ascii="Arial" w:hAnsi="Arial" w:cs="Arial"/>
          <w:noProof/>
          <w:lang w:val="en-GB"/>
        </w:rPr>
        <w:t>Otherwise, the extraordinary termination of this contract for cause may be declared without notice, especially in the case of a gross violation of duty or inability to render a service to the required standard.</w:t>
      </w:r>
      <w:r w:rsidRPr="25A9B10F">
        <w:rPr>
          <w:rFonts w:ascii="Arial" w:hAnsi="Arial" w:cs="Arial"/>
          <w:noProof/>
          <w:lang w:val="en-GB"/>
        </w:rPr>
        <w:t>.</w:t>
      </w:r>
    </w:p>
    <w:p w14:paraId="34E33F43" w14:textId="2B555888" w:rsidR="00783C26" w:rsidRPr="00424359" w:rsidRDefault="00783C26" w:rsidP="00783C26">
      <w:pPr>
        <w:spacing w:after="220"/>
        <w:ind w:left="0" w:right="418" w:firstLine="0"/>
        <w:rPr>
          <w:rFonts w:ascii="Arial" w:hAnsi="Arial" w:cs="Arial"/>
          <w:noProof/>
          <w:lang w:val="en-GB"/>
        </w:rPr>
      </w:pPr>
      <w:r w:rsidRPr="25A9B10F">
        <w:rPr>
          <w:rFonts w:ascii="Arial" w:hAnsi="Arial" w:cs="Arial"/>
          <w:noProof/>
          <w:lang w:val="en-GB"/>
        </w:rPr>
        <w:t xml:space="preserve">(3) </w:t>
      </w:r>
      <w:r w:rsidR="74AE0BA2" w:rsidRPr="25A9B10F">
        <w:rPr>
          <w:rFonts w:ascii="Arial" w:hAnsi="Arial" w:cs="Arial"/>
          <w:noProof/>
          <w:lang w:val="en-GB"/>
        </w:rPr>
        <w:t xml:space="preserve"> In the event of termination according to paragraph 2, the contractor shall only have a pro rata claim to the remuneration regulated in Art. 2 (1) if and insofar as the principal has an interest in this from his point of view and wishes to retain or receive it. The amount of the pro rata claim shall be determined according to the status of the project implementation at the time of receipt of the notice of termination. Already overcharged remuneration services shall be repaid by the contractor.</w:t>
      </w:r>
    </w:p>
    <w:p w14:paraId="31CAB102" w14:textId="2798D832" w:rsidR="00935359" w:rsidRPr="00424359" w:rsidRDefault="00783C26" w:rsidP="00935359">
      <w:pPr>
        <w:spacing w:after="234"/>
        <w:ind w:left="0" w:right="418" w:firstLine="0"/>
        <w:rPr>
          <w:rFonts w:ascii="Arial" w:hAnsi="Arial" w:cs="Arial"/>
          <w:noProof/>
          <w:lang w:val="en-GB"/>
        </w:rPr>
      </w:pPr>
      <w:r w:rsidRPr="25A9B10F">
        <w:rPr>
          <w:rFonts w:ascii="Arial" w:hAnsi="Arial" w:cs="Arial"/>
          <w:noProof/>
          <w:lang w:val="en-GB"/>
        </w:rPr>
        <w:t>(4)</w:t>
      </w:r>
      <w:r w:rsidR="6BC33474" w:rsidRPr="25A9B10F">
        <w:rPr>
          <w:rFonts w:ascii="Arial" w:hAnsi="Arial" w:cs="Arial"/>
          <w:noProof/>
          <w:lang w:val="en-GB"/>
        </w:rPr>
        <w:t xml:space="preserve"> Notice of termination shall be in writing form</w:t>
      </w:r>
      <w:r w:rsidRPr="25A9B10F">
        <w:rPr>
          <w:rFonts w:ascii="Arial" w:hAnsi="Arial" w:cs="Arial"/>
          <w:noProof/>
          <w:lang w:val="en-GB"/>
        </w:rPr>
        <w:t>.</w:t>
      </w:r>
    </w:p>
    <w:p w14:paraId="26769283" w14:textId="77777777" w:rsidR="00783C26" w:rsidRPr="00424359" w:rsidRDefault="00783C26" w:rsidP="00783C26">
      <w:pPr>
        <w:spacing w:after="210" w:line="265" w:lineRule="auto"/>
        <w:ind w:left="10" w:right="76" w:hanging="10"/>
        <w:jc w:val="center"/>
        <w:rPr>
          <w:rFonts w:ascii="Arial" w:hAnsi="Arial" w:cs="Arial"/>
          <w:noProof/>
          <w:lang w:val="en-GB"/>
        </w:rPr>
      </w:pPr>
      <w:r w:rsidRPr="00424359">
        <w:rPr>
          <w:rFonts w:ascii="Arial" w:hAnsi="Arial" w:cs="Arial"/>
          <w:noProof/>
          <w:sz w:val="26"/>
          <w:lang w:val="en-GB"/>
        </w:rPr>
        <w:t>Art. 4 Extraordinary reporting obligations</w:t>
      </w:r>
    </w:p>
    <w:p w14:paraId="1970890F" w14:textId="77777777" w:rsidR="00614E50" w:rsidRDefault="00783C26" w:rsidP="00614E50">
      <w:pPr>
        <w:numPr>
          <w:ilvl w:val="0"/>
          <w:numId w:val="4"/>
        </w:numPr>
        <w:ind w:right="418"/>
        <w:rPr>
          <w:rFonts w:ascii="Arial" w:hAnsi="Arial" w:cs="Arial"/>
          <w:noProof/>
          <w:lang w:val="en-GB"/>
        </w:rPr>
      </w:pPr>
      <w:r w:rsidRPr="00424359">
        <w:rPr>
          <w:rFonts w:ascii="Arial" w:hAnsi="Arial" w:cs="Arial"/>
          <w:noProof/>
          <w:lang w:val="en-GB"/>
        </w:rPr>
        <w:t>If the Consultant realizes that he will be unable to provide a service at all, in the required manner, to the required standard or by the required deadline, or if he becomes aware that this is a distinct possibility, he must undertake to inform the Client accordingly without delay. The information must be put in writing together with a detailed description of the situation. If the Consultant is going to be unable to meet the agreed deadline for services, he must state the date by which it will be possible to provide the service.</w:t>
      </w:r>
    </w:p>
    <w:p w14:paraId="70F516D0" w14:textId="79B7C0E8" w:rsidR="00783C26" w:rsidRPr="00614E50" w:rsidRDefault="00783C26" w:rsidP="00614E50">
      <w:pPr>
        <w:numPr>
          <w:ilvl w:val="0"/>
          <w:numId w:val="4"/>
        </w:numPr>
        <w:ind w:right="418"/>
        <w:rPr>
          <w:rFonts w:ascii="Arial" w:hAnsi="Arial" w:cs="Arial"/>
          <w:noProof/>
          <w:lang w:val="en-GB"/>
        </w:rPr>
      </w:pPr>
      <w:r w:rsidRPr="00614E50">
        <w:rPr>
          <w:rFonts w:ascii="Arial" w:hAnsi="Arial" w:cs="Arial"/>
          <w:noProof/>
          <w:lang w:val="en-GB"/>
        </w:rPr>
        <w:lastRenderedPageBreak/>
        <w:t>The Consultant must disclose immediately if a petition for the initiation of insolvency proceedings has been filed against her or if such proceedings have been instituted.</w:t>
      </w:r>
    </w:p>
    <w:p w14:paraId="05792CB1" w14:textId="0217A79C" w:rsidR="00783C26" w:rsidRPr="00935359" w:rsidRDefault="00783C26" w:rsidP="00935359">
      <w:pPr>
        <w:spacing w:after="210" w:line="265" w:lineRule="auto"/>
        <w:ind w:left="10" w:right="76" w:hanging="10"/>
        <w:jc w:val="center"/>
        <w:rPr>
          <w:rFonts w:ascii="Arial" w:hAnsi="Arial" w:cs="Arial"/>
          <w:noProof/>
          <w:sz w:val="26"/>
          <w:lang w:val="en-GB"/>
        </w:rPr>
      </w:pPr>
      <w:r w:rsidRPr="00424359">
        <w:rPr>
          <w:rFonts w:ascii="Arial" w:hAnsi="Arial" w:cs="Arial"/>
          <w:noProof/>
          <w:sz w:val="26"/>
          <w:lang w:val="en-GB"/>
        </w:rPr>
        <w:t xml:space="preserve">Art. 5 Rights of use </w:t>
      </w:r>
      <w:r w:rsidR="00935359">
        <w:rPr>
          <w:rFonts w:ascii="Arial" w:hAnsi="Arial" w:cs="Arial"/>
          <w:noProof/>
          <w:sz w:val="26"/>
          <w:lang w:val="en-GB"/>
        </w:rPr>
        <w:t>/</w:t>
      </w:r>
      <w:r w:rsidRPr="00424359">
        <w:rPr>
          <w:rFonts w:ascii="Arial" w:hAnsi="Arial" w:cs="Arial"/>
          <w:noProof/>
          <w:sz w:val="26"/>
          <w:lang w:val="en-GB"/>
        </w:rPr>
        <w:t xml:space="preserve"> Intellectual property</w:t>
      </w:r>
    </w:p>
    <w:p w14:paraId="14B430FC" w14:textId="77777777" w:rsidR="00783C26" w:rsidRPr="00424359" w:rsidRDefault="00783C26" w:rsidP="00783C26">
      <w:pPr>
        <w:numPr>
          <w:ilvl w:val="0"/>
          <w:numId w:val="5"/>
        </w:numPr>
        <w:spacing w:after="255"/>
        <w:ind w:right="418"/>
        <w:rPr>
          <w:rFonts w:ascii="Arial" w:hAnsi="Arial" w:cs="Arial"/>
          <w:noProof/>
          <w:lang w:val="en-GB"/>
        </w:rPr>
      </w:pPr>
      <w:r w:rsidRPr="00424359">
        <w:rPr>
          <w:rFonts w:ascii="Arial" w:hAnsi="Arial" w:cs="Arial"/>
          <w:noProof/>
          <w:lang w:val="en-GB"/>
        </w:rPr>
        <w:t>The Consultant shall grant the Client transferable, exclusive rights of use to the services/results of services described in more detail in Art. 1, without restriction as to territory, time or subject-matter. This includes the right to replicate the results, process them in any way, develop them further, modify them or reorganize them in any way whatsoever, and to make similar use of the results created in this way.</w:t>
      </w:r>
    </w:p>
    <w:p w14:paraId="5FC7ED3D" w14:textId="77777777" w:rsidR="00783C26" w:rsidRPr="00424359" w:rsidRDefault="00783C26" w:rsidP="00783C26">
      <w:pPr>
        <w:numPr>
          <w:ilvl w:val="0"/>
          <w:numId w:val="5"/>
        </w:numPr>
        <w:spacing w:after="390"/>
        <w:ind w:right="418"/>
        <w:rPr>
          <w:rFonts w:ascii="Arial" w:hAnsi="Arial" w:cs="Arial"/>
          <w:noProof/>
          <w:lang w:val="en-GB"/>
        </w:rPr>
      </w:pPr>
      <w:r w:rsidRPr="00424359">
        <w:rPr>
          <w:rFonts w:ascii="Arial" w:hAnsi="Arial" w:cs="Arial"/>
          <w:noProof/>
          <w:lang w:val="en-GB"/>
        </w:rPr>
        <w:t>The Client is also entitled to grant the rights of use described in Para. 1 to all member associations, in particular all regional associations and the nursing staff association of the GRC, as well as to local sections, local branches, associations, enterprises and other institutions which they incorporate. This also includes all affiliated enterprises or institutions of the associations, branches and institutions named in Sent. 1 as well as all associations, branches, enterprises and institutions which also include at least the name of the German Red Cross in their title.</w:t>
      </w:r>
    </w:p>
    <w:p w14:paraId="13E5381F" w14:textId="77777777" w:rsidR="00783C26" w:rsidRPr="00424359" w:rsidRDefault="00783C26" w:rsidP="00783C26">
      <w:pPr>
        <w:spacing w:after="181" w:line="265" w:lineRule="auto"/>
        <w:ind w:left="10" w:right="326" w:hanging="10"/>
        <w:jc w:val="center"/>
        <w:rPr>
          <w:rFonts w:ascii="Arial" w:hAnsi="Arial" w:cs="Arial"/>
          <w:noProof/>
          <w:lang w:val="en-GB"/>
        </w:rPr>
      </w:pPr>
      <w:r w:rsidRPr="00424359">
        <w:rPr>
          <w:rFonts w:ascii="Arial" w:hAnsi="Arial" w:cs="Arial"/>
          <w:noProof/>
          <w:sz w:val="26"/>
          <w:lang w:val="en-GB"/>
        </w:rPr>
        <w:t>Art. 6 Third-party rights</w:t>
      </w:r>
    </w:p>
    <w:p w14:paraId="5BA6B382" w14:textId="585ADC76" w:rsidR="00783C26" w:rsidRPr="00424359" w:rsidRDefault="00783C26" w:rsidP="00783C26">
      <w:pPr>
        <w:numPr>
          <w:ilvl w:val="0"/>
          <w:numId w:val="6"/>
        </w:numPr>
        <w:spacing w:after="263"/>
        <w:ind w:right="418"/>
        <w:rPr>
          <w:rFonts w:ascii="Arial" w:hAnsi="Arial" w:cs="Arial"/>
          <w:noProof/>
          <w:lang w:val="en-GB"/>
        </w:rPr>
      </w:pPr>
      <w:r w:rsidRPr="00424359">
        <w:rPr>
          <w:rFonts w:ascii="Arial" w:hAnsi="Arial" w:cs="Arial"/>
          <w:noProof/>
          <w:lang w:val="en-GB"/>
        </w:rPr>
        <w:t xml:space="preserve">The Consultant gives </w:t>
      </w:r>
      <w:r w:rsidR="00BE32BC" w:rsidRPr="00424359">
        <w:rPr>
          <w:rFonts w:ascii="Arial" w:hAnsi="Arial" w:cs="Arial"/>
          <w:noProof/>
          <w:lang w:val="en-GB"/>
        </w:rPr>
        <w:t>her/</w:t>
      </w:r>
      <w:r w:rsidRPr="00424359">
        <w:rPr>
          <w:rFonts w:ascii="Arial" w:hAnsi="Arial" w:cs="Arial"/>
          <w:noProof/>
          <w:lang w:val="en-GB"/>
        </w:rPr>
        <w:t>his assurance that the contractual service is free of third-party rights which might exclude or restrict the Client</w:t>
      </w:r>
      <w:r w:rsidRPr="00424359">
        <w:rPr>
          <w:rFonts w:ascii="Arial" w:hAnsi="Arial" w:cs="Arial"/>
          <w:noProof/>
          <w:vertAlign w:val="superscript"/>
          <w:lang w:val="en-GB"/>
        </w:rPr>
        <w:t>t</w:t>
      </w:r>
      <w:r w:rsidRPr="00424359">
        <w:rPr>
          <w:rFonts w:ascii="Arial" w:hAnsi="Arial" w:cs="Arial"/>
          <w:noProof/>
          <w:lang w:val="en-GB"/>
        </w:rPr>
        <w:t>s use of the service pursuant to the contract.</w:t>
      </w:r>
    </w:p>
    <w:p w14:paraId="25416F8D" w14:textId="77777777" w:rsidR="00783C26" w:rsidRPr="00424359" w:rsidRDefault="00783C26" w:rsidP="00783C26">
      <w:pPr>
        <w:numPr>
          <w:ilvl w:val="0"/>
          <w:numId w:val="6"/>
        </w:numPr>
        <w:spacing w:after="250"/>
        <w:ind w:right="418"/>
        <w:rPr>
          <w:rFonts w:ascii="Arial" w:hAnsi="Arial" w:cs="Arial"/>
          <w:noProof/>
          <w:lang w:val="en-GB"/>
        </w:rPr>
      </w:pPr>
      <w:r w:rsidRPr="00424359">
        <w:rPr>
          <w:rFonts w:ascii="Arial" w:hAnsi="Arial" w:cs="Arial"/>
          <w:noProof/>
          <w:lang w:val="en-GB"/>
        </w:rPr>
        <w:t>If, following the conclusion of the contract, claims are made which arise from an infringement of property rights, as a result of which contractual use of the contractual service is impaired or prohibited, the Consultant must undertake - at the Client's discretion either to modify or replace the contractual service in such a way as to ensure that it is no longer affected by the property rights whilst still complying with the terms of the contract, or to acquire rights which entitle the Client to use the contractual service without restriction or additional cost to himself pursuant to the provisions of the contract. If the Consultant is unable to do so within a period of 20 calendar days from assertion of the infringement of property rights, the Client must grant the Consultant a reasonable extension of at least 14 calendar days in which to rectify the situation. If the Consultant fails to meet this extended deadline, the Client shall be entitled to withdraw from this contract in whole or in part, or to demand a reduction in the Consultant's remuneration and compensation or indemnification for fruitless expenditure. No extension need be granted if it is apparent that the Consultant is unable to rectify the situation or refuses to do so.</w:t>
      </w:r>
    </w:p>
    <w:p w14:paraId="22736432" w14:textId="77777777" w:rsidR="005F6EDC" w:rsidRDefault="00783C26" w:rsidP="005F6EDC">
      <w:pPr>
        <w:numPr>
          <w:ilvl w:val="0"/>
          <w:numId w:val="6"/>
        </w:numPr>
        <w:spacing w:after="258"/>
        <w:ind w:right="418"/>
        <w:rPr>
          <w:rFonts w:ascii="Arial" w:hAnsi="Arial" w:cs="Arial"/>
          <w:noProof/>
          <w:lang w:val="en-GB"/>
        </w:rPr>
      </w:pPr>
      <w:r w:rsidRPr="00424359">
        <w:rPr>
          <w:rFonts w:ascii="Arial" w:hAnsi="Arial" w:cs="Arial"/>
          <w:noProof/>
          <w:lang w:val="en-GB"/>
        </w:rPr>
        <w:t>The Consultant assumes sole liability as well as responsibility for any legal defense vis-a-vis the party asserting an infringement of property rights. The Consultant is, in particular, entitled and obliged to conduct all legal disputes arising from these claims at her own expense, and to indemnify the Client comprehensively against any third-party claims at the latter's initial request.</w:t>
      </w:r>
    </w:p>
    <w:p w14:paraId="5C50EECB" w14:textId="724D81A4" w:rsidR="00783C26" w:rsidRPr="005F6EDC" w:rsidRDefault="00783C26" w:rsidP="005F6EDC">
      <w:pPr>
        <w:numPr>
          <w:ilvl w:val="0"/>
          <w:numId w:val="6"/>
        </w:numPr>
        <w:spacing w:after="258"/>
        <w:ind w:right="418"/>
        <w:rPr>
          <w:rFonts w:ascii="Arial" w:hAnsi="Arial" w:cs="Arial"/>
          <w:noProof/>
          <w:lang w:val="en-GB"/>
        </w:rPr>
      </w:pPr>
      <w:r w:rsidRPr="005F6EDC">
        <w:rPr>
          <w:rFonts w:ascii="Arial" w:hAnsi="Arial" w:cs="Arial"/>
          <w:noProof/>
          <w:lang w:val="en-GB"/>
        </w:rPr>
        <w:t>The Client shall inform the Consultant immediately in writing if claims are asserted against her for an infringement of property rights.</w:t>
      </w:r>
    </w:p>
    <w:p w14:paraId="27E5C4A7" w14:textId="77777777" w:rsidR="00783C26" w:rsidRPr="00424359" w:rsidRDefault="00783C26" w:rsidP="00783C26">
      <w:pPr>
        <w:spacing w:after="180" w:line="265" w:lineRule="auto"/>
        <w:ind w:left="10" w:right="341" w:hanging="10"/>
        <w:jc w:val="center"/>
        <w:rPr>
          <w:rFonts w:ascii="Arial" w:hAnsi="Arial" w:cs="Arial"/>
          <w:noProof/>
          <w:lang w:val="en-GB"/>
        </w:rPr>
      </w:pPr>
      <w:r w:rsidRPr="00424359">
        <w:rPr>
          <w:rFonts w:ascii="Arial" w:hAnsi="Arial" w:cs="Arial"/>
          <w:noProof/>
          <w:sz w:val="26"/>
          <w:lang w:val="en-GB"/>
        </w:rPr>
        <w:t>Art. 7 Data protection &amp; Confidentiality</w:t>
      </w:r>
    </w:p>
    <w:p w14:paraId="34B60B84" w14:textId="20214C7E" w:rsidR="00783C26" w:rsidRPr="00424359" w:rsidRDefault="00AC6BC6" w:rsidP="00203ADC">
      <w:pPr>
        <w:ind w:left="158" w:right="418"/>
        <w:rPr>
          <w:rFonts w:ascii="Arial" w:hAnsi="Arial" w:cs="Arial"/>
          <w:noProof/>
          <w:lang w:val="en-GB"/>
        </w:rPr>
      </w:pPr>
      <w:r w:rsidRPr="00424359">
        <w:rPr>
          <w:rFonts w:ascii="Arial" w:hAnsi="Arial" w:cs="Arial"/>
          <w:noProof/>
          <w:lang w:val="en-GB"/>
        </w:rPr>
        <w:t xml:space="preserve">The Consultant undertakes to observe confidentiality with respect to all matters of the Client to which she/he has or will become privy while fulfilling this contract; this </w:t>
      </w:r>
      <w:r w:rsidRPr="00424359">
        <w:rPr>
          <w:rFonts w:ascii="Arial" w:hAnsi="Arial" w:cs="Arial"/>
          <w:noProof/>
          <w:lang w:val="en-GB"/>
        </w:rPr>
        <w:lastRenderedPageBreak/>
        <w:t>undertaking shall survive the termination of this contract. The Consultant will also ensure that all relevant regulations regarding the protection of personal data will be respected</w:t>
      </w:r>
      <w:r w:rsidR="00783C26" w:rsidRPr="00424359">
        <w:rPr>
          <w:rFonts w:ascii="Arial" w:hAnsi="Arial" w:cs="Arial"/>
          <w:noProof/>
          <w:lang w:val="en-GB"/>
        </w:rPr>
        <w:t>.</w:t>
      </w:r>
      <w:r w:rsidR="00FB0FB8" w:rsidRPr="00424359">
        <w:rPr>
          <w:rFonts w:ascii="Arial" w:hAnsi="Arial" w:cs="Arial"/>
          <w:noProof/>
          <w:lang w:val="en-GB"/>
        </w:rPr>
        <w:t xml:space="preserve"> </w:t>
      </w:r>
    </w:p>
    <w:p w14:paraId="46E4A06B" w14:textId="77777777" w:rsidR="00783C26" w:rsidRPr="00203ADC" w:rsidRDefault="00783C26" w:rsidP="00203ADC">
      <w:pPr>
        <w:spacing w:after="0" w:line="265" w:lineRule="auto"/>
        <w:ind w:left="10" w:right="382" w:hanging="10"/>
        <w:jc w:val="center"/>
        <w:rPr>
          <w:rFonts w:ascii="Arial" w:hAnsi="Arial" w:cs="Arial"/>
          <w:noProof/>
          <w:sz w:val="26"/>
          <w:lang w:val="en-GB"/>
        </w:rPr>
      </w:pPr>
      <w:r w:rsidRPr="00424359">
        <w:rPr>
          <w:rFonts w:ascii="Arial" w:hAnsi="Arial" w:cs="Arial"/>
          <w:noProof/>
          <w:sz w:val="26"/>
          <w:lang w:val="en-GB"/>
        </w:rPr>
        <w:t>Art. 8 Obligation to surrender possession</w:t>
      </w:r>
    </w:p>
    <w:p w14:paraId="4BEAFE10" w14:textId="77777777" w:rsidR="00783C26" w:rsidRPr="00424359" w:rsidRDefault="00783C26" w:rsidP="00783C26">
      <w:pPr>
        <w:ind w:left="158" w:right="418"/>
        <w:rPr>
          <w:rFonts w:ascii="Arial" w:hAnsi="Arial" w:cs="Arial"/>
          <w:noProof/>
          <w:lang w:val="en-GB"/>
        </w:rPr>
      </w:pPr>
      <w:r w:rsidRPr="00424359">
        <w:rPr>
          <w:rFonts w:ascii="Arial" w:hAnsi="Arial" w:cs="Arial"/>
          <w:noProof/>
          <w:lang w:val="en-GB"/>
        </w:rPr>
        <w:t>When the contract ends, the Consultant shall be obliged to surrender to the Client all documents and data supplied to her, including any copies which have been made. These remain the property of the Client. Copies of any documents prepared by the Consultant in connection with this commission must be given to the Client if and to the extent to which the latter requires them for the purpose of documenting or advancing the project.</w:t>
      </w:r>
    </w:p>
    <w:p w14:paraId="112199CF" w14:textId="77777777" w:rsidR="00783C26" w:rsidRPr="00424359" w:rsidRDefault="00783C26" w:rsidP="00783C26">
      <w:pPr>
        <w:spacing w:after="0" w:line="265" w:lineRule="auto"/>
        <w:ind w:left="10" w:right="382" w:hanging="10"/>
        <w:jc w:val="center"/>
        <w:rPr>
          <w:rFonts w:ascii="Arial" w:hAnsi="Arial" w:cs="Arial"/>
          <w:noProof/>
          <w:lang w:val="en-GB"/>
        </w:rPr>
      </w:pPr>
      <w:r w:rsidRPr="00424359">
        <w:rPr>
          <w:rFonts w:ascii="Arial" w:hAnsi="Arial" w:cs="Arial"/>
          <w:noProof/>
          <w:sz w:val="26"/>
          <w:lang w:val="en-GB"/>
        </w:rPr>
        <w:t>Art. 9 Set-off I Right of retention</w:t>
      </w:r>
    </w:p>
    <w:p w14:paraId="7FF93385" w14:textId="7BC8A71A" w:rsidR="00BC0DE9" w:rsidRPr="00424359" w:rsidRDefault="00783C26" w:rsidP="00457501">
      <w:pPr>
        <w:spacing w:after="472"/>
        <w:ind w:left="158" w:right="418"/>
        <w:rPr>
          <w:rFonts w:ascii="Arial" w:hAnsi="Arial" w:cs="Arial"/>
          <w:noProof/>
          <w:lang w:val="en-GB"/>
        </w:rPr>
      </w:pPr>
      <w:r w:rsidRPr="00424359">
        <w:rPr>
          <w:rFonts w:ascii="Arial" w:hAnsi="Arial" w:cs="Arial"/>
          <w:noProof/>
          <w:lang w:val="en-GB"/>
        </w:rPr>
        <w:t>The Consultant may only offset claims if his/her counterclaims are undisputed or have been legally established. The Consultant shall only be entitled to claim rights of retention on the basis of counterclaims arising from the same contractual relationship.</w:t>
      </w:r>
    </w:p>
    <w:p w14:paraId="63690C95" w14:textId="77777777" w:rsidR="00783C26" w:rsidRPr="00424359" w:rsidRDefault="00783C26" w:rsidP="00783C26">
      <w:pPr>
        <w:spacing w:after="178" w:line="265" w:lineRule="auto"/>
        <w:ind w:left="10" w:right="392" w:hanging="10"/>
        <w:jc w:val="center"/>
        <w:rPr>
          <w:rFonts w:ascii="Arial" w:hAnsi="Arial" w:cs="Arial"/>
          <w:noProof/>
          <w:lang w:val="en-GB"/>
        </w:rPr>
      </w:pPr>
      <w:r w:rsidRPr="00424359">
        <w:rPr>
          <w:rFonts w:ascii="Arial" w:hAnsi="Arial" w:cs="Arial"/>
          <w:noProof/>
          <w:sz w:val="26"/>
          <w:lang w:val="en-GB"/>
        </w:rPr>
        <w:t>Art. 10 Qualified clause requiring written form</w:t>
      </w:r>
    </w:p>
    <w:p w14:paraId="50149668" w14:textId="77777777" w:rsidR="00783C26" w:rsidRPr="00424359" w:rsidRDefault="00783C26" w:rsidP="00783C26">
      <w:pPr>
        <w:ind w:left="158" w:right="418"/>
        <w:rPr>
          <w:rFonts w:ascii="Arial" w:hAnsi="Arial" w:cs="Arial"/>
          <w:noProof/>
          <w:lang w:val="en-GB"/>
        </w:rPr>
      </w:pPr>
      <w:r w:rsidRPr="00424359">
        <w:rPr>
          <w:rFonts w:ascii="Arial" w:hAnsi="Arial" w:cs="Arial"/>
          <w:noProof/>
          <w:lang w:val="en-GB"/>
        </w:rPr>
        <w:t>Any addendum or amendment to the contract or to an agreement to annul the same shall only be effective if confirmed in writing. This requirement may only be waived in a written declaration.</w:t>
      </w:r>
    </w:p>
    <w:p w14:paraId="40DAEB4C" w14:textId="77777777" w:rsidR="00783C26" w:rsidRPr="00DF50BC" w:rsidRDefault="00783C26" w:rsidP="00DF50BC">
      <w:pPr>
        <w:spacing w:after="178" w:line="265" w:lineRule="auto"/>
        <w:ind w:left="10" w:right="392" w:hanging="10"/>
        <w:jc w:val="center"/>
        <w:rPr>
          <w:rFonts w:ascii="Arial" w:hAnsi="Arial" w:cs="Arial"/>
          <w:noProof/>
          <w:sz w:val="26"/>
          <w:lang w:val="en-GB"/>
        </w:rPr>
      </w:pPr>
      <w:r w:rsidRPr="00424359">
        <w:rPr>
          <w:rFonts w:ascii="Arial" w:hAnsi="Arial" w:cs="Arial"/>
          <w:noProof/>
          <w:sz w:val="26"/>
          <w:lang w:val="en-GB"/>
        </w:rPr>
        <w:t>Art. 11 Jurisdiction Agreement</w:t>
      </w:r>
    </w:p>
    <w:p w14:paraId="22C37CBA" w14:textId="77777777" w:rsidR="009F2071" w:rsidRDefault="00783C26" w:rsidP="00457501">
      <w:pPr>
        <w:ind w:left="158" w:right="418"/>
        <w:rPr>
          <w:rFonts w:ascii="Arial" w:hAnsi="Arial" w:cs="Arial"/>
          <w:noProof/>
          <w:lang w:val="en-GB"/>
        </w:rPr>
      </w:pPr>
      <w:r w:rsidRPr="00424359">
        <w:rPr>
          <w:rFonts w:ascii="Arial" w:hAnsi="Arial" w:cs="Arial"/>
          <w:noProof/>
          <w:lang w:val="en-GB"/>
        </w:rPr>
        <w:t xml:space="preserve">This agreement is governed by German law. Jurisdiction is Berlin. </w:t>
      </w:r>
    </w:p>
    <w:p w14:paraId="1C50BF3E" w14:textId="6CD782D8" w:rsidR="00BA40EF" w:rsidRPr="001725B1" w:rsidRDefault="00BA40EF" w:rsidP="00BC0DE9">
      <w:pPr>
        <w:spacing w:before="240" w:after="178" w:line="265" w:lineRule="auto"/>
        <w:ind w:left="10" w:right="392" w:hanging="10"/>
        <w:jc w:val="center"/>
        <w:rPr>
          <w:rFonts w:ascii="Arial" w:hAnsi="Arial" w:cs="Arial"/>
          <w:noProof/>
          <w:sz w:val="26"/>
          <w:lang w:val="en-GB"/>
        </w:rPr>
      </w:pPr>
      <w:r w:rsidRPr="001725B1">
        <w:rPr>
          <w:rFonts w:ascii="Arial" w:hAnsi="Arial" w:cs="Arial"/>
          <w:noProof/>
          <w:sz w:val="26"/>
          <w:lang w:val="en-GB"/>
        </w:rPr>
        <w:t>Art. 12 Severability clause</w:t>
      </w:r>
    </w:p>
    <w:p w14:paraId="60C56053" w14:textId="77777777" w:rsidR="00BA40EF" w:rsidRPr="00424359" w:rsidRDefault="00BA40EF" w:rsidP="00880FD6">
      <w:pPr>
        <w:ind w:left="158" w:right="418"/>
        <w:rPr>
          <w:rFonts w:ascii="Arial" w:hAnsi="Arial" w:cs="Arial"/>
          <w:noProof/>
          <w:lang w:val="en-GB"/>
        </w:rPr>
      </w:pPr>
      <w:r w:rsidRPr="00424359">
        <w:rPr>
          <w:rFonts w:ascii="Arial" w:hAnsi="Arial" w:cs="Arial"/>
          <w:noProof/>
          <w:lang w:val="en-GB"/>
        </w:rPr>
        <w:t xml:space="preserve">If individual provisions of this contract are ineffective or impracticable or become ineffective or impracticable after the conclusion of the contract, this shall not affect the validity of the contract and its annexes. Ineffective or impracticable provisions are to be substituted by provisions whose economic effect as closely as possible approximates that which the parties to the contract intended with the ineffective or impracticable provision. The above provisions shall apply mutatis mutandis to cases where there is an omission in the contract or its annexes. Sec. 139 of the German Civil Code shall not be applicable. </w:t>
      </w:r>
    </w:p>
    <w:tbl>
      <w:tblPr>
        <w:tblStyle w:val="Tabellenraster"/>
        <w:tblW w:w="9722"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0"/>
        <w:gridCol w:w="435"/>
        <w:gridCol w:w="4667"/>
      </w:tblGrid>
      <w:tr w:rsidR="00A8780E" w:rsidRPr="006F037E" w14:paraId="6DFFD4AD" w14:textId="77777777" w:rsidTr="00E84F8B">
        <w:trPr>
          <w:trHeight w:val="1034"/>
        </w:trPr>
        <w:tc>
          <w:tcPr>
            <w:tcW w:w="4620" w:type="dxa"/>
          </w:tcPr>
          <w:p w14:paraId="54928970" w14:textId="56EFA425" w:rsidR="00457501" w:rsidRDefault="00C37791" w:rsidP="00783C26">
            <w:pPr>
              <w:spacing w:after="939"/>
              <w:ind w:left="0" w:right="418" w:firstLine="0"/>
              <w:rPr>
                <w:rFonts w:ascii="Arial" w:hAnsi="Arial" w:cs="Arial"/>
                <w:noProof/>
                <w:lang w:val="en-GB"/>
              </w:rPr>
            </w:pPr>
            <w:r>
              <w:rPr>
                <w:rFonts w:ascii="Arial" w:hAnsi="Arial" w:cs="Arial"/>
                <w:noProof/>
                <w:lang w:val="en-GB"/>
              </w:rPr>
              <mc:AlternateContent>
                <mc:Choice Requires="wps">
                  <w:drawing>
                    <wp:anchor distT="0" distB="0" distL="114300" distR="114300" simplePos="0" relativeHeight="251658240" behindDoc="0" locked="0" layoutInCell="1" allowOverlap="1" wp14:anchorId="4278F157" wp14:editId="1F4D9B7F">
                      <wp:simplePos x="0" y="0"/>
                      <wp:positionH relativeFrom="column">
                        <wp:posOffset>6985</wp:posOffset>
                      </wp:positionH>
                      <wp:positionV relativeFrom="paragraph">
                        <wp:posOffset>669290</wp:posOffset>
                      </wp:positionV>
                      <wp:extent cx="2696400" cy="0"/>
                      <wp:effectExtent l="0" t="0" r="0" b="0"/>
                      <wp:wrapNone/>
                      <wp:docPr id="1806728299" name="Gerader Verbinder 1806728299"/>
                      <wp:cNvGraphicFramePr/>
                      <a:graphic xmlns:a="http://schemas.openxmlformats.org/drawingml/2006/main">
                        <a:graphicData uri="http://schemas.microsoft.com/office/word/2010/wordprocessingShape">
                          <wps:wsp>
                            <wps:cNvCnPr/>
                            <wps:spPr>
                              <a:xfrm>
                                <a:off x="0" y="0"/>
                                <a:ext cx="2696400" cy="0"/>
                              </a:xfrm>
                              <a:prstGeom prst="line">
                                <a:avLst/>
                              </a:prstGeom>
                              <a:ln w="1587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42A9E460"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52.7pt" to="212.85pt,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" strokecolor="black [3213]" strokeweight="1.25pt">
                      <v:stroke dashstyle="3 1" joinstyle="miter"/>
                    </v:line>
                  </w:pict>
                </mc:Fallback>
              </mc:AlternateContent>
            </w:r>
          </w:p>
        </w:tc>
        <w:tc>
          <w:tcPr>
            <w:tcW w:w="435" w:type="dxa"/>
          </w:tcPr>
          <w:p w14:paraId="14AF5F70" w14:textId="77777777" w:rsidR="00457501" w:rsidRDefault="00457501" w:rsidP="00783C26">
            <w:pPr>
              <w:spacing w:after="939"/>
              <w:ind w:left="0" w:right="418" w:firstLine="0"/>
              <w:rPr>
                <w:rFonts w:ascii="Arial" w:hAnsi="Arial" w:cs="Arial"/>
                <w:noProof/>
                <w:lang w:val="en-GB"/>
              </w:rPr>
            </w:pPr>
          </w:p>
        </w:tc>
        <w:tc>
          <w:tcPr>
            <w:tcW w:w="4667" w:type="dxa"/>
          </w:tcPr>
          <w:p w14:paraId="26ED05AF" w14:textId="05362B64" w:rsidR="00457501" w:rsidRDefault="002D615D" w:rsidP="00783C26">
            <w:pPr>
              <w:spacing w:after="939"/>
              <w:ind w:left="0" w:right="418" w:firstLine="0"/>
              <w:rPr>
                <w:rFonts w:ascii="Arial" w:hAnsi="Arial" w:cs="Arial"/>
                <w:noProof/>
                <w:lang w:val="en-GB"/>
              </w:rPr>
            </w:pPr>
            <w:r>
              <w:rPr>
                <w:rFonts w:ascii="Arial" w:hAnsi="Arial" w:cs="Arial"/>
                <w:noProof/>
                <w:lang w:val="en-GB"/>
              </w:rPr>
              <mc:AlternateContent>
                <mc:Choice Requires="wps">
                  <w:drawing>
                    <wp:anchor distT="0" distB="0" distL="114300" distR="114300" simplePos="0" relativeHeight="251658241" behindDoc="0" locked="0" layoutInCell="1" allowOverlap="1" wp14:anchorId="0A2B5B65" wp14:editId="677D6323">
                      <wp:simplePos x="0" y="0"/>
                      <wp:positionH relativeFrom="column">
                        <wp:posOffset>-1270</wp:posOffset>
                      </wp:positionH>
                      <wp:positionV relativeFrom="paragraph">
                        <wp:posOffset>672465</wp:posOffset>
                      </wp:positionV>
                      <wp:extent cx="2696400" cy="0"/>
                      <wp:effectExtent l="0" t="0" r="0" b="0"/>
                      <wp:wrapNone/>
                      <wp:docPr id="1696513912" name="Gerader Verbinder 1696513912"/>
                      <wp:cNvGraphicFramePr/>
                      <a:graphic xmlns:a="http://schemas.openxmlformats.org/drawingml/2006/main">
                        <a:graphicData uri="http://schemas.microsoft.com/office/word/2010/wordprocessingShape">
                          <wps:wsp>
                            <wps:cNvCnPr/>
                            <wps:spPr>
                              <a:xfrm>
                                <a:off x="0" y="0"/>
                                <a:ext cx="2696400" cy="0"/>
                              </a:xfrm>
                              <a:prstGeom prst="line">
                                <a:avLst/>
                              </a:prstGeom>
                              <a:ln w="1587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6F632BB5" id="Gerader Verbinde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52.95pt" to="212.2pt,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" strokecolor="black [3213]" strokeweight="1.25pt">
                      <v:stroke dashstyle="3 1" joinstyle="miter"/>
                    </v:line>
                  </w:pict>
                </mc:Fallback>
              </mc:AlternateContent>
            </w:r>
          </w:p>
        </w:tc>
      </w:tr>
      <w:tr w:rsidR="00A8780E" w14:paraId="2573C3C0" w14:textId="77777777" w:rsidTr="00E84F8B">
        <w:trPr>
          <w:trHeight w:val="233"/>
        </w:trPr>
        <w:tc>
          <w:tcPr>
            <w:tcW w:w="4620" w:type="dxa"/>
          </w:tcPr>
          <w:p w14:paraId="4C2D1160" w14:textId="77777777" w:rsidR="00F615F9" w:rsidRDefault="00457501" w:rsidP="008B0167">
            <w:pPr>
              <w:ind w:left="0" w:right="418" w:firstLine="0"/>
              <w:rPr>
                <w:rFonts w:ascii="Arial" w:hAnsi="Arial" w:cs="Arial"/>
                <w:noProof/>
                <w:lang w:val="en-GB"/>
              </w:rPr>
            </w:pPr>
            <w:r>
              <w:rPr>
                <w:rFonts w:ascii="Arial" w:hAnsi="Arial" w:cs="Arial"/>
                <w:noProof/>
                <w:lang w:val="en-GB"/>
              </w:rPr>
              <w:t>Christian Reuter</w:t>
            </w:r>
          </w:p>
          <w:p w14:paraId="0A8EE357" w14:textId="123ACCA0" w:rsidR="00786F80" w:rsidRDefault="00786F80" w:rsidP="008B0167">
            <w:pPr>
              <w:ind w:left="0" w:right="418" w:firstLine="0"/>
              <w:rPr>
                <w:rFonts w:ascii="Arial" w:hAnsi="Arial" w:cs="Arial"/>
                <w:noProof/>
                <w:lang w:val="en-GB"/>
              </w:rPr>
            </w:pPr>
            <w:r>
              <w:rPr>
                <w:rFonts w:ascii="Arial" w:hAnsi="Arial" w:cs="Arial"/>
                <w:noProof/>
                <w:lang w:val="en-GB"/>
              </w:rPr>
              <w:t>German Red Cross</w:t>
            </w:r>
          </w:p>
        </w:tc>
        <w:tc>
          <w:tcPr>
            <w:tcW w:w="435" w:type="dxa"/>
          </w:tcPr>
          <w:p w14:paraId="26B44910" w14:textId="77777777" w:rsidR="00457501" w:rsidRDefault="00457501" w:rsidP="00783C26">
            <w:pPr>
              <w:spacing w:after="939"/>
              <w:ind w:left="0" w:right="418" w:firstLine="0"/>
              <w:rPr>
                <w:rFonts w:ascii="Arial" w:hAnsi="Arial" w:cs="Arial"/>
                <w:noProof/>
                <w:lang w:val="en-GB"/>
              </w:rPr>
            </w:pPr>
          </w:p>
        </w:tc>
        <w:tc>
          <w:tcPr>
            <w:tcW w:w="4667" w:type="dxa"/>
          </w:tcPr>
          <w:p w14:paraId="56D97FE2" w14:textId="77777777" w:rsidR="00457501" w:rsidRDefault="00103087" w:rsidP="008B0167">
            <w:pPr>
              <w:ind w:right="418"/>
              <w:rPr>
                <w:rFonts w:ascii="Arial" w:hAnsi="Arial" w:cs="Arial"/>
                <w:noProof/>
                <w:lang w:val="en-GB"/>
              </w:rPr>
            </w:pPr>
            <w:r>
              <w:rPr>
                <w:rFonts w:ascii="Arial" w:hAnsi="Arial" w:cs="Arial"/>
                <w:noProof/>
                <w:lang w:val="en-GB"/>
              </w:rPr>
              <w:t xml:space="preserve">N. N. </w:t>
            </w:r>
          </w:p>
          <w:p w14:paraId="6D63B716" w14:textId="7EBA4E70" w:rsidR="00786F80" w:rsidRDefault="00786F80" w:rsidP="008B0167">
            <w:pPr>
              <w:ind w:right="418"/>
              <w:rPr>
                <w:rFonts w:ascii="Arial" w:hAnsi="Arial" w:cs="Arial"/>
                <w:noProof/>
                <w:lang w:val="en-GB"/>
              </w:rPr>
            </w:pPr>
            <w:r>
              <w:rPr>
                <w:rFonts w:ascii="Arial" w:hAnsi="Arial" w:cs="Arial"/>
                <w:noProof/>
                <w:lang w:val="en-GB"/>
              </w:rPr>
              <w:t>Consultant</w:t>
            </w:r>
          </w:p>
        </w:tc>
      </w:tr>
    </w:tbl>
    <w:p w14:paraId="3D6A1DA6" w14:textId="77777777" w:rsidR="00783C26" w:rsidRPr="00424359" w:rsidRDefault="00783C26">
      <w:pPr>
        <w:rPr>
          <w:rFonts w:ascii="Arial" w:hAnsi="Arial" w:cs="Arial"/>
          <w:lang w:val="en-GB"/>
        </w:rPr>
      </w:pPr>
    </w:p>
    <w:sectPr w:rsidR="00783C26" w:rsidRPr="00424359">
      <w:headerReference w:type="even" r:id="rId10"/>
      <w:footerReference w:type="default" r:id="rId11"/>
      <w:headerReference w:type="first" r:id="rId12"/>
      <w:footerReference w:type="first" r:id="rId13"/>
      <w:pgSz w:w="11902" w:h="16834"/>
      <w:pgMar w:top="1049" w:right="973" w:bottom="1066" w:left="1395"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80790" w14:textId="77777777" w:rsidR="00685C34" w:rsidRDefault="00685C34" w:rsidP="00ED2CFD">
      <w:pPr>
        <w:spacing w:after="0" w:line="240" w:lineRule="auto"/>
      </w:pPr>
      <w:r>
        <w:separator/>
      </w:r>
    </w:p>
  </w:endnote>
  <w:endnote w:type="continuationSeparator" w:id="0">
    <w:p w14:paraId="110790E0" w14:textId="77777777" w:rsidR="00685C34" w:rsidRDefault="00685C34" w:rsidP="00ED2CFD">
      <w:pPr>
        <w:spacing w:after="0" w:line="240" w:lineRule="auto"/>
      </w:pPr>
      <w:r>
        <w:continuationSeparator/>
      </w:r>
    </w:p>
  </w:endnote>
  <w:endnote w:type="continuationNotice" w:id="1">
    <w:p w14:paraId="3F932701" w14:textId="77777777" w:rsidR="00685C34" w:rsidRDefault="00685C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753009"/>
      <w:docPartObj>
        <w:docPartGallery w:val="Page Numbers (Bottom of Page)"/>
        <w:docPartUnique/>
      </w:docPartObj>
    </w:sdtPr>
    <w:sdtEndPr/>
    <w:sdtContent>
      <w:p w14:paraId="340B4E8B" w14:textId="5B3BE476" w:rsidR="00ED2CFD" w:rsidRDefault="00ED2CFD">
        <w:pPr>
          <w:pStyle w:val="Fuzeile"/>
          <w:jc w:val="right"/>
        </w:pPr>
        <w:r>
          <w:fldChar w:fldCharType="begin"/>
        </w:r>
        <w:r>
          <w:instrText>PAGE   \* MERGEFORMAT</w:instrText>
        </w:r>
        <w:r>
          <w:fldChar w:fldCharType="separate"/>
        </w:r>
        <w:r>
          <w:t>2</w:t>
        </w:r>
        <w:r>
          <w:fldChar w:fldCharType="end"/>
        </w:r>
      </w:p>
    </w:sdtContent>
  </w:sdt>
  <w:p w14:paraId="504578E1" w14:textId="77777777" w:rsidR="00ED2CFD" w:rsidRDefault="00ED2C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627"/>
      <w:gridCol w:w="1907"/>
    </w:tblGrid>
    <w:sdt>
      <w:sdtPr>
        <w:rPr>
          <w:rFonts w:asciiTheme="majorHAnsi" w:eastAsiaTheme="majorEastAsia" w:hAnsiTheme="majorHAnsi" w:cstheme="majorBidi"/>
          <w:sz w:val="20"/>
          <w:szCs w:val="20"/>
        </w:rPr>
        <w:id w:val="-992014309"/>
        <w:docPartObj>
          <w:docPartGallery w:val="Page Numbers (Bottom of Page)"/>
          <w:docPartUnique/>
        </w:docPartObj>
      </w:sdtPr>
      <w:sdtEndPr>
        <w:rPr>
          <w:rFonts w:ascii="Calibri" w:eastAsia="Calibri" w:hAnsi="Calibri" w:cs="Calibri"/>
          <w:sz w:val="24"/>
          <w:szCs w:val="22"/>
        </w:rPr>
      </w:sdtEndPr>
      <w:sdtContent>
        <w:tr w:rsidR="0058515A" w14:paraId="05769307" w14:textId="77777777">
          <w:trPr>
            <w:trHeight w:val="727"/>
          </w:trPr>
          <w:tc>
            <w:tcPr>
              <w:tcW w:w="4000" w:type="pct"/>
              <w:tcBorders>
                <w:right w:val="triple" w:sz="4" w:space="0" w:color="4472C4" w:themeColor="accent1"/>
              </w:tcBorders>
            </w:tcPr>
            <w:p w14:paraId="382943FB" w14:textId="7CD0699A" w:rsidR="0058515A" w:rsidRDefault="0058515A">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472C4" w:themeColor="accent1"/>
              </w:tcBorders>
            </w:tcPr>
            <w:p w14:paraId="2221CB07" w14:textId="30F331F6" w:rsidR="0058515A" w:rsidRDefault="0058515A">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t>2</w:t>
              </w:r>
              <w:r>
                <w:fldChar w:fldCharType="end"/>
              </w:r>
            </w:p>
          </w:tc>
        </w:tr>
      </w:sdtContent>
    </w:sdt>
  </w:tbl>
  <w:p w14:paraId="41F8AAA4" w14:textId="77777777" w:rsidR="00442128" w:rsidRDefault="004421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D03D2" w14:textId="77777777" w:rsidR="00685C34" w:rsidRDefault="00685C34" w:rsidP="00ED2CFD">
      <w:pPr>
        <w:spacing w:after="0" w:line="240" w:lineRule="auto"/>
      </w:pPr>
      <w:r>
        <w:separator/>
      </w:r>
    </w:p>
  </w:footnote>
  <w:footnote w:type="continuationSeparator" w:id="0">
    <w:p w14:paraId="77D542AB" w14:textId="77777777" w:rsidR="00685C34" w:rsidRDefault="00685C34" w:rsidP="00ED2CFD">
      <w:pPr>
        <w:spacing w:after="0" w:line="240" w:lineRule="auto"/>
      </w:pPr>
      <w:r>
        <w:continuationSeparator/>
      </w:r>
    </w:p>
  </w:footnote>
  <w:footnote w:type="continuationNotice" w:id="1">
    <w:p w14:paraId="78A20431" w14:textId="77777777" w:rsidR="00685C34" w:rsidRDefault="00685C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AC2CB" w14:textId="14ECA112" w:rsidR="00166587" w:rsidRDefault="00680665">
    <w:pPr>
      <w:spacing w:after="0" w:line="259" w:lineRule="auto"/>
      <w:ind w:left="0" w:right="214" w:firstLine="0"/>
      <w:jc w:val="center"/>
    </w:pPr>
    <w:r>
      <w:fldChar w:fldCharType="begin"/>
    </w:r>
    <w:r>
      <w:instrText xml:space="preserve"> PAGE   \* MERGEFORMAT </w:instrText>
    </w:r>
    <w:r>
      <w:fldChar w:fldCharType="separate"/>
    </w:r>
    <w:r>
      <w:rPr>
        <w:sz w:val="20"/>
      </w:rPr>
      <w:t>2</w:t>
    </w:r>
    <w:r>
      <w:rPr>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F40A6" w14:textId="387FABBF" w:rsidR="00166587" w:rsidRDefault="00166587">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26" style="width:4.5pt;height:4.5pt" coordsize="" o:spt="100" o:bullet="t" adj="0,,0" path="" stroked="f">
        <v:stroke joinstyle="miter"/>
        <v:imagedata r:id="rId1" o:title="image7"/>
        <v:formulas/>
        <v:path o:connecttype="segments"/>
      </v:shape>
    </w:pict>
  </w:numPicBullet>
  <w:abstractNum w:abstractNumId="0" w15:restartNumberingAfterBreak="0">
    <w:nsid w:val="28D47FDF"/>
    <w:multiLevelType w:val="hybridMultilevel"/>
    <w:tmpl w:val="AB3A7108"/>
    <w:lvl w:ilvl="0" w:tplc="B7D29A08">
      <w:start w:val="1"/>
      <w:numFmt w:val="decimal"/>
      <w:lvlText w:val="(%1)"/>
      <w:lvlJc w:val="left"/>
      <w:pPr>
        <w:ind w:left="1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C7E4F9A2">
      <w:start w:val="1"/>
      <w:numFmt w:val="lowerLetter"/>
      <w:lvlText w:val="%2"/>
      <w:lvlJc w:val="left"/>
      <w:pPr>
        <w:ind w:left="110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854F0B4">
      <w:start w:val="1"/>
      <w:numFmt w:val="lowerRoman"/>
      <w:lvlText w:val="%3"/>
      <w:lvlJc w:val="left"/>
      <w:pPr>
        <w:ind w:left="18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028DBAA">
      <w:start w:val="1"/>
      <w:numFmt w:val="decimal"/>
      <w:lvlText w:val="%4"/>
      <w:lvlJc w:val="left"/>
      <w:pPr>
        <w:ind w:left="25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95C631A">
      <w:start w:val="1"/>
      <w:numFmt w:val="lowerLetter"/>
      <w:lvlText w:val="%5"/>
      <w:lvlJc w:val="left"/>
      <w:pPr>
        <w:ind w:left="32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C04D770">
      <w:start w:val="1"/>
      <w:numFmt w:val="lowerRoman"/>
      <w:lvlText w:val="%6"/>
      <w:lvlJc w:val="left"/>
      <w:pPr>
        <w:ind w:left="39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E18FC8E">
      <w:start w:val="1"/>
      <w:numFmt w:val="decimal"/>
      <w:lvlText w:val="%7"/>
      <w:lvlJc w:val="left"/>
      <w:pPr>
        <w:ind w:left="470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847605DC">
      <w:start w:val="1"/>
      <w:numFmt w:val="lowerLetter"/>
      <w:lvlText w:val="%8"/>
      <w:lvlJc w:val="left"/>
      <w:pPr>
        <w:ind w:left="54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5A8E2A2">
      <w:start w:val="1"/>
      <w:numFmt w:val="lowerRoman"/>
      <w:lvlText w:val="%9"/>
      <w:lvlJc w:val="left"/>
      <w:pPr>
        <w:ind w:left="61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29F31B3D"/>
    <w:multiLevelType w:val="hybridMultilevel"/>
    <w:tmpl w:val="34EE1ACC"/>
    <w:lvl w:ilvl="0" w:tplc="8EA4B9FC">
      <w:start w:val="1"/>
      <w:numFmt w:val="decimal"/>
      <w:lvlText w:val="(%1)"/>
      <w:lvlJc w:val="left"/>
      <w:pPr>
        <w:ind w:left="1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98209690">
      <w:start w:val="1"/>
      <w:numFmt w:val="bullet"/>
      <w:lvlText w:val="•"/>
      <w:lvlPicBulletId w:val="0"/>
      <w:lvlJc w:val="left"/>
      <w:pPr>
        <w:ind w:left="75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748F628">
      <w:start w:val="1"/>
      <w:numFmt w:val="bullet"/>
      <w:lvlText w:val="▪"/>
      <w:lvlJc w:val="left"/>
      <w:pPr>
        <w:ind w:left="16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5BA8B02">
      <w:start w:val="1"/>
      <w:numFmt w:val="bullet"/>
      <w:lvlText w:val="•"/>
      <w:lvlJc w:val="left"/>
      <w:pPr>
        <w:ind w:left="24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691A666A">
      <w:start w:val="1"/>
      <w:numFmt w:val="bullet"/>
      <w:lvlText w:val="o"/>
      <w:lvlJc w:val="left"/>
      <w:pPr>
        <w:ind w:left="31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8C8C8382">
      <w:start w:val="1"/>
      <w:numFmt w:val="bullet"/>
      <w:lvlText w:val="▪"/>
      <w:lvlJc w:val="left"/>
      <w:pPr>
        <w:ind w:left="38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46E53AC">
      <w:start w:val="1"/>
      <w:numFmt w:val="bullet"/>
      <w:lvlText w:val="•"/>
      <w:lvlJc w:val="left"/>
      <w:pPr>
        <w:ind w:left="45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53E4D0F8">
      <w:start w:val="1"/>
      <w:numFmt w:val="bullet"/>
      <w:lvlText w:val="o"/>
      <w:lvlJc w:val="left"/>
      <w:pPr>
        <w:ind w:left="52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48684BE">
      <w:start w:val="1"/>
      <w:numFmt w:val="bullet"/>
      <w:lvlText w:val="▪"/>
      <w:lvlJc w:val="left"/>
      <w:pPr>
        <w:ind w:left="60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2A6C3508"/>
    <w:multiLevelType w:val="hybridMultilevel"/>
    <w:tmpl w:val="3DFC71FC"/>
    <w:lvl w:ilvl="0" w:tplc="08090001">
      <w:start w:val="1"/>
      <w:numFmt w:val="bullet"/>
      <w:lvlText w:val=""/>
      <w:lvlJc w:val="left"/>
      <w:pPr>
        <w:ind w:left="523" w:hanging="360"/>
      </w:pPr>
      <w:rPr>
        <w:rFonts w:ascii="Symbol" w:hAnsi="Symbol" w:hint="default"/>
      </w:rPr>
    </w:lvl>
    <w:lvl w:ilvl="1" w:tplc="08090003" w:tentative="1">
      <w:start w:val="1"/>
      <w:numFmt w:val="bullet"/>
      <w:lvlText w:val="o"/>
      <w:lvlJc w:val="left"/>
      <w:pPr>
        <w:ind w:left="1243" w:hanging="360"/>
      </w:pPr>
      <w:rPr>
        <w:rFonts w:ascii="Courier New" w:hAnsi="Courier New" w:cs="Courier New" w:hint="default"/>
      </w:rPr>
    </w:lvl>
    <w:lvl w:ilvl="2" w:tplc="08090005" w:tentative="1">
      <w:start w:val="1"/>
      <w:numFmt w:val="bullet"/>
      <w:lvlText w:val=""/>
      <w:lvlJc w:val="left"/>
      <w:pPr>
        <w:ind w:left="1963" w:hanging="360"/>
      </w:pPr>
      <w:rPr>
        <w:rFonts w:ascii="Wingdings" w:hAnsi="Wingdings" w:hint="default"/>
      </w:rPr>
    </w:lvl>
    <w:lvl w:ilvl="3" w:tplc="08090001" w:tentative="1">
      <w:start w:val="1"/>
      <w:numFmt w:val="bullet"/>
      <w:lvlText w:val=""/>
      <w:lvlJc w:val="left"/>
      <w:pPr>
        <w:ind w:left="2683" w:hanging="360"/>
      </w:pPr>
      <w:rPr>
        <w:rFonts w:ascii="Symbol" w:hAnsi="Symbol" w:hint="default"/>
      </w:rPr>
    </w:lvl>
    <w:lvl w:ilvl="4" w:tplc="08090003" w:tentative="1">
      <w:start w:val="1"/>
      <w:numFmt w:val="bullet"/>
      <w:lvlText w:val="o"/>
      <w:lvlJc w:val="left"/>
      <w:pPr>
        <w:ind w:left="3403" w:hanging="360"/>
      </w:pPr>
      <w:rPr>
        <w:rFonts w:ascii="Courier New" w:hAnsi="Courier New" w:cs="Courier New" w:hint="default"/>
      </w:rPr>
    </w:lvl>
    <w:lvl w:ilvl="5" w:tplc="08090005" w:tentative="1">
      <w:start w:val="1"/>
      <w:numFmt w:val="bullet"/>
      <w:lvlText w:val=""/>
      <w:lvlJc w:val="left"/>
      <w:pPr>
        <w:ind w:left="4123" w:hanging="360"/>
      </w:pPr>
      <w:rPr>
        <w:rFonts w:ascii="Wingdings" w:hAnsi="Wingdings" w:hint="default"/>
      </w:rPr>
    </w:lvl>
    <w:lvl w:ilvl="6" w:tplc="08090001" w:tentative="1">
      <w:start w:val="1"/>
      <w:numFmt w:val="bullet"/>
      <w:lvlText w:val=""/>
      <w:lvlJc w:val="left"/>
      <w:pPr>
        <w:ind w:left="4843" w:hanging="360"/>
      </w:pPr>
      <w:rPr>
        <w:rFonts w:ascii="Symbol" w:hAnsi="Symbol" w:hint="default"/>
      </w:rPr>
    </w:lvl>
    <w:lvl w:ilvl="7" w:tplc="08090003" w:tentative="1">
      <w:start w:val="1"/>
      <w:numFmt w:val="bullet"/>
      <w:lvlText w:val="o"/>
      <w:lvlJc w:val="left"/>
      <w:pPr>
        <w:ind w:left="5563" w:hanging="360"/>
      </w:pPr>
      <w:rPr>
        <w:rFonts w:ascii="Courier New" w:hAnsi="Courier New" w:cs="Courier New" w:hint="default"/>
      </w:rPr>
    </w:lvl>
    <w:lvl w:ilvl="8" w:tplc="08090005" w:tentative="1">
      <w:start w:val="1"/>
      <w:numFmt w:val="bullet"/>
      <w:lvlText w:val=""/>
      <w:lvlJc w:val="left"/>
      <w:pPr>
        <w:ind w:left="6283" w:hanging="360"/>
      </w:pPr>
      <w:rPr>
        <w:rFonts w:ascii="Wingdings" w:hAnsi="Wingdings" w:hint="default"/>
      </w:rPr>
    </w:lvl>
  </w:abstractNum>
  <w:abstractNum w:abstractNumId="3" w15:restartNumberingAfterBreak="0">
    <w:nsid w:val="35066F3F"/>
    <w:multiLevelType w:val="hybridMultilevel"/>
    <w:tmpl w:val="3EB6396C"/>
    <w:lvl w:ilvl="0" w:tplc="3F5ADAA0">
      <w:start w:val="1"/>
      <w:numFmt w:val="decimal"/>
      <w:lvlText w:val="(%1)"/>
      <w:lvlJc w:val="left"/>
      <w:pPr>
        <w:ind w:left="1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A91620A2">
      <w:start w:val="1"/>
      <w:numFmt w:val="lowerLetter"/>
      <w:lvlText w:val="%2"/>
      <w:lvlJc w:val="left"/>
      <w:pPr>
        <w:ind w:left="11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338BDAE">
      <w:start w:val="1"/>
      <w:numFmt w:val="lowerRoman"/>
      <w:lvlText w:val="%3"/>
      <w:lvlJc w:val="left"/>
      <w:pPr>
        <w:ind w:left="18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49D6E480">
      <w:start w:val="1"/>
      <w:numFmt w:val="decimal"/>
      <w:lvlText w:val="%4"/>
      <w:lvlJc w:val="left"/>
      <w:pPr>
        <w:ind w:left="255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B5A64968">
      <w:start w:val="1"/>
      <w:numFmt w:val="lowerLetter"/>
      <w:lvlText w:val="%5"/>
      <w:lvlJc w:val="left"/>
      <w:pPr>
        <w:ind w:left="327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F06A5D4">
      <w:start w:val="1"/>
      <w:numFmt w:val="lowerRoman"/>
      <w:lvlText w:val="%6"/>
      <w:lvlJc w:val="left"/>
      <w:pPr>
        <w:ind w:left="39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874B9BA">
      <w:start w:val="1"/>
      <w:numFmt w:val="decimal"/>
      <w:lvlText w:val="%7"/>
      <w:lvlJc w:val="left"/>
      <w:pPr>
        <w:ind w:left="47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AB486378">
      <w:start w:val="1"/>
      <w:numFmt w:val="lowerLetter"/>
      <w:lvlText w:val="%8"/>
      <w:lvlJc w:val="left"/>
      <w:pPr>
        <w:ind w:left="54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78E2F0C4">
      <w:start w:val="1"/>
      <w:numFmt w:val="lowerRoman"/>
      <w:lvlText w:val="%9"/>
      <w:lvlJc w:val="left"/>
      <w:pPr>
        <w:ind w:left="615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692E46CC"/>
    <w:multiLevelType w:val="hybridMultilevel"/>
    <w:tmpl w:val="65666C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7F030D"/>
    <w:multiLevelType w:val="hybridMultilevel"/>
    <w:tmpl w:val="8F16E05C"/>
    <w:lvl w:ilvl="0" w:tplc="C936D4D6">
      <w:start w:val="1"/>
      <w:numFmt w:val="decimal"/>
      <w:lvlText w:val="(%1)"/>
      <w:lvlJc w:val="left"/>
      <w:pPr>
        <w:ind w:left="1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F623046">
      <w:start w:val="1"/>
      <w:numFmt w:val="lowerLetter"/>
      <w:lvlText w:val="%2"/>
      <w:lvlJc w:val="left"/>
      <w:pPr>
        <w:ind w:left="11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4CD4F72E">
      <w:start w:val="1"/>
      <w:numFmt w:val="lowerRoman"/>
      <w:lvlText w:val="%3"/>
      <w:lvlJc w:val="left"/>
      <w:pPr>
        <w:ind w:left="184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596CF8C2">
      <w:start w:val="1"/>
      <w:numFmt w:val="decimal"/>
      <w:lvlText w:val="%4"/>
      <w:lvlJc w:val="left"/>
      <w:pPr>
        <w:ind w:left="256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E44CDCBA">
      <w:start w:val="1"/>
      <w:numFmt w:val="lowerLetter"/>
      <w:lvlText w:val="%5"/>
      <w:lvlJc w:val="left"/>
      <w:pPr>
        <w:ind w:left="328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4B52EA12">
      <w:start w:val="1"/>
      <w:numFmt w:val="lowerRoman"/>
      <w:lvlText w:val="%6"/>
      <w:lvlJc w:val="left"/>
      <w:pPr>
        <w:ind w:left="400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45764232">
      <w:start w:val="1"/>
      <w:numFmt w:val="decimal"/>
      <w:lvlText w:val="%7"/>
      <w:lvlJc w:val="left"/>
      <w:pPr>
        <w:ind w:left="47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EDCAEC82">
      <w:start w:val="1"/>
      <w:numFmt w:val="lowerLetter"/>
      <w:lvlText w:val="%8"/>
      <w:lvlJc w:val="left"/>
      <w:pPr>
        <w:ind w:left="544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EF49592">
      <w:start w:val="1"/>
      <w:numFmt w:val="lowerRoman"/>
      <w:lvlText w:val="%9"/>
      <w:lvlJc w:val="left"/>
      <w:pPr>
        <w:ind w:left="616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6FC82DED"/>
    <w:multiLevelType w:val="hybridMultilevel"/>
    <w:tmpl w:val="3DA8DADC"/>
    <w:lvl w:ilvl="0" w:tplc="AF82BEAE">
      <w:start w:val="1"/>
      <w:numFmt w:val="decimal"/>
      <w:lvlText w:val="(%1)"/>
      <w:lvlJc w:val="left"/>
      <w:pPr>
        <w:ind w:left="1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B5AE43A6">
      <w:start w:val="1"/>
      <w:numFmt w:val="lowerLetter"/>
      <w:lvlText w:val="%2"/>
      <w:lvlJc w:val="left"/>
      <w:pPr>
        <w:ind w:left="120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256593A">
      <w:start w:val="1"/>
      <w:numFmt w:val="lowerRoman"/>
      <w:lvlText w:val="%3"/>
      <w:lvlJc w:val="left"/>
      <w:pPr>
        <w:ind w:left="192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BBE4C9E">
      <w:start w:val="1"/>
      <w:numFmt w:val="decimal"/>
      <w:lvlText w:val="%4"/>
      <w:lvlJc w:val="left"/>
      <w:pPr>
        <w:ind w:left="264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5860060">
      <w:start w:val="1"/>
      <w:numFmt w:val="lowerLetter"/>
      <w:lvlText w:val="%5"/>
      <w:lvlJc w:val="left"/>
      <w:pPr>
        <w:ind w:left="336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DE0C06FA">
      <w:start w:val="1"/>
      <w:numFmt w:val="lowerRoman"/>
      <w:lvlText w:val="%6"/>
      <w:lvlJc w:val="left"/>
      <w:pPr>
        <w:ind w:left="408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118C957E">
      <w:start w:val="1"/>
      <w:numFmt w:val="decimal"/>
      <w:lvlText w:val="%7"/>
      <w:lvlJc w:val="left"/>
      <w:pPr>
        <w:ind w:left="480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6EE8486C">
      <w:start w:val="1"/>
      <w:numFmt w:val="lowerLetter"/>
      <w:lvlText w:val="%8"/>
      <w:lvlJc w:val="left"/>
      <w:pPr>
        <w:ind w:left="552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D2467FA0">
      <w:start w:val="1"/>
      <w:numFmt w:val="lowerRoman"/>
      <w:lvlText w:val="%9"/>
      <w:lvlJc w:val="left"/>
      <w:pPr>
        <w:ind w:left="624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7AC5265E"/>
    <w:multiLevelType w:val="hybridMultilevel"/>
    <w:tmpl w:val="2340C194"/>
    <w:lvl w:ilvl="0" w:tplc="DE1EA8D8">
      <w:start w:val="1"/>
      <w:numFmt w:val="bullet"/>
      <w:lvlText w:val="-"/>
      <w:lvlJc w:val="left"/>
      <w:pPr>
        <w:ind w:left="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9BCB8FA">
      <w:start w:val="1"/>
      <w:numFmt w:val="bullet"/>
      <w:lvlText w:val="o"/>
      <w:lvlJc w:val="left"/>
      <w:pPr>
        <w:ind w:left="59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CF1293B4">
      <w:start w:val="1"/>
      <w:numFmt w:val="bullet"/>
      <w:lvlText w:val="▪"/>
      <w:lvlJc w:val="left"/>
      <w:pPr>
        <w:ind w:left="66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5A45108">
      <w:start w:val="1"/>
      <w:numFmt w:val="bullet"/>
      <w:lvlText w:val="•"/>
      <w:lvlJc w:val="left"/>
      <w:pPr>
        <w:ind w:left="73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31921CB2">
      <w:start w:val="1"/>
      <w:numFmt w:val="bullet"/>
      <w:lvlText w:val="o"/>
      <w:lvlJc w:val="left"/>
      <w:pPr>
        <w:ind w:left="80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4296D800">
      <w:start w:val="1"/>
      <w:numFmt w:val="bullet"/>
      <w:lvlText w:val="▪"/>
      <w:lvlJc w:val="left"/>
      <w:pPr>
        <w:ind w:left="87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394C6B3A">
      <w:start w:val="1"/>
      <w:numFmt w:val="bullet"/>
      <w:lvlText w:val="•"/>
      <w:lvlJc w:val="left"/>
      <w:pPr>
        <w:ind w:left="95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3294A436">
      <w:start w:val="1"/>
      <w:numFmt w:val="bullet"/>
      <w:lvlText w:val="o"/>
      <w:lvlJc w:val="left"/>
      <w:pPr>
        <w:ind w:left="102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0F24794">
      <w:start w:val="1"/>
      <w:numFmt w:val="bullet"/>
      <w:lvlText w:val="▪"/>
      <w:lvlJc w:val="left"/>
      <w:pPr>
        <w:ind w:left="109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16cid:durableId="1748309647">
    <w:abstractNumId w:val="7"/>
  </w:num>
  <w:num w:numId="2" w16cid:durableId="2103839057">
    <w:abstractNumId w:val="1"/>
  </w:num>
  <w:num w:numId="3" w16cid:durableId="832065589">
    <w:abstractNumId w:val="5"/>
  </w:num>
  <w:num w:numId="4" w16cid:durableId="184290090">
    <w:abstractNumId w:val="3"/>
  </w:num>
  <w:num w:numId="5" w16cid:durableId="1918199025">
    <w:abstractNumId w:val="0"/>
  </w:num>
  <w:num w:numId="6" w16cid:durableId="1256599458">
    <w:abstractNumId w:val="6"/>
  </w:num>
  <w:num w:numId="7" w16cid:durableId="1041902860">
    <w:abstractNumId w:val="4"/>
  </w:num>
  <w:num w:numId="8" w16cid:durableId="12066000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C26"/>
    <w:rsid w:val="00005674"/>
    <w:rsid w:val="00007F56"/>
    <w:rsid w:val="000254DA"/>
    <w:rsid w:val="0003616D"/>
    <w:rsid w:val="00072956"/>
    <w:rsid w:val="0007685A"/>
    <w:rsid w:val="00093B1D"/>
    <w:rsid w:val="0009650E"/>
    <w:rsid w:val="0009670C"/>
    <w:rsid w:val="000C74C0"/>
    <w:rsid w:val="000D6291"/>
    <w:rsid w:val="000F2F74"/>
    <w:rsid w:val="001024B8"/>
    <w:rsid w:val="00103087"/>
    <w:rsid w:val="00130D27"/>
    <w:rsid w:val="0014246A"/>
    <w:rsid w:val="001641E5"/>
    <w:rsid w:val="00166587"/>
    <w:rsid w:val="001725B1"/>
    <w:rsid w:val="001972C9"/>
    <w:rsid w:val="001D0DD6"/>
    <w:rsid w:val="001E5F18"/>
    <w:rsid w:val="00203ADC"/>
    <w:rsid w:val="00210A5C"/>
    <w:rsid w:val="00216728"/>
    <w:rsid w:val="002167E5"/>
    <w:rsid w:val="00220110"/>
    <w:rsid w:val="00220AE4"/>
    <w:rsid w:val="00235FBA"/>
    <w:rsid w:val="00250AC8"/>
    <w:rsid w:val="00263B71"/>
    <w:rsid w:val="00264682"/>
    <w:rsid w:val="00265062"/>
    <w:rsid w:val="002855EA"/>
    <w:rsid w:val="00286B81"/>
    <w:rsid w:val="002C32D5"/>
    <w:rsid w:val="002D615D"/>
    <w:rsid w:val="002E3726"/>
    <w:rsid w:val="00304C8C"/>
    <w:rsid w:val="00317B83"/>
    <w:rsid w:val="00322C27"/>
    <w:rsid w:val="00324E93"/>
    <w:rsid w:val="0037271E"/>
    <w:rsid w:val="00372872"/>
    <w:rsid w:val="003B2DE8"/>
    <w:rsid w:val="003B45B0"/>
    <w:rsid w:val="003B4790"/>
    <w:rsid w:val="003D0CC9"/>
    <w:rsid w:val="003E3C3A"/>
    <w:rsid w:val="003F5E4D"/>
    <w:rsid w:val="00404CA6"/>
    <w:rsid w:val="00420360"/>
    <w:rsid w:val="00424359"/>
    <w:rsid w:val="00430AA4"/>
    <w:rsid w:val="00431C9F"/>
    <w:rsid w:val="0043619D"/>
    <w:rsid w:val="00442128"/>
    <w:rsid w:val="00457501"/>
    <w:rsid w:val="00462352"/>
    <w:rsid w:val="004A003D"/>
    <w:rsid w:val="004B70E9"/>
    <w:rsid w:val="004D5044"/>
    <w:rsid w:val="004D59FE"/>
    <w:rsid w:val="004F4CE9"/>
    <w:rsid w:val="004F72D5"/>
    <w:rsid w:val="005407C3"/>
    <w:rsid w:val="005547F0"/>
    <w:rsid w:val="00572A09"/>
    <w:rsid w:val="0057612F"/>
    <w:rsid w:val="0058515A"/>
    <w:rsid w:val="005E3BF0"/>
    <w:rsid w:val="005F16B6"/>
    <w:rsid w:val="005F68F6"/>
    <w:rsid w:val="005F6EDC"/>
    <w:rsid w:val="00614E50"/>
    <w:rsid w:val="00651EF1"/>
    <w:rsid w:val="0067799B"/>
    <w:rsid w:val="00680665"/>
    <w:rsid w:val="00685C34"/>
    <w:rsid w:val="00687CCB"/>
    <w:rsid w:val="006C6F19"/>
    <w:rsid w:val="006D5D05"/>
    <w:rsid w:val="006D7421"/>
    <w:rsid w:val="006F037E"/>
    <w:rsid w:val="006F3CF9"/>
    <w:rsid w:val="0070602F"/>
    <w:rsid w:val="00712312"/>
    <w:rsid w:val="00717991"/>
    <w:rsid w:val="0073537D"/>
    <w:rsid w:val="00743410"/>
    <w:rsid w:val="00783C26"/>
    <w:rsid w:val="00786F80"/>
    <w:rsid w:val="007A6447"/>
    <w:rsid w:val="007F28D7"/>
    <w:rsid w:val="007F3C16"/>
    <w:rsid w:val="0080390A"/>
    <w:rsid w:val="008045BF"/>
    <w:rsid w:val="00806165"/>
    <w:rsid w:val="008106EF"/>
    <w:rsid w:val="008129E7"/>
    <w:rsid w:val="00814047"/>
    <w:rsid w:val="0082214B"/>
    <w:rsid w:val="008438B9"/>
    <w:rsid w:val="008519E3"/>
    <w:rsid w:val="0086077F"/>
    <w:rsid w:val="0088012D"/>
    <w:rsid w:val="00880FD6"/>
    <w:rsid w:val="00887923"/>
    <w:rsid w:val="00893D3C"/>
    <w:rsid w:val="008A3BE4"/>
    <w:rsid w:val="008B0167"/>
    <w:rsid w:val="008D3E04"/>
    <w:rsid w:val="008F18D3"/>
    <w:rsid w:val="00926B61"/>
    <w:rsid w:val="0093350D"/>
    <w:rsid w:val="0093386F"/>
    <w:rsid w:val="00935359"/>
    <w:rsid w:val="009361F3"/>
    <w:rsid w:val="00970AF2"/>
    <w:rsid w:val="009A393E"/>
    <w:rsid w:val="009A5BCA"/>
    <w:rsid w:val="009F2071"/>
    <w:rsid w:val="00A1002B"/>
    <w:rsid w:val="00A31F65"/>
    <w:rsid w:val="00A374DA"/>
    <w:rsid w:val="00A4366D"/>
    <w:rsid w:val="00A46FD6"/>
    <w:rsid w:val="00A77EB6"/>
    <w:rsid w:val="00A8780E"/>
    <w:rsid w:val="00AB2DE0"/>
    <w:rsid w:val="00AC0225"/>
    <w:rsid w:val="00AC6BC6"/>
    <w:rsid w:val="00AC6D34"/>
    <w:rsid w:val="00AE433E"/>
    <w:rsid w:val="00AE6813"/>
    <w:rsid w:val="00B0442F"/>
    <w:rsid w:val="00B0757D"/>
    <w:rsid w:val="00B20271"/>
    <w:rsid w:val="00B26A91"/>
    <w:rsid w:val="00B57338"/>
    <w:rsid w:val="00BA40EF"/>
    <w:rsid w:val="00BA6CCC"/>
    <w:rsid w:val="00BB6ACC"/>
    <w:rsid w:val="00BC0DE9"/>
    <w:rsid w:val="00BD01A2"/>
    <w:rsid w:val="00BE071E"/>
    <w:rsid w:val="00BE32BC"/>
    <w:rsid w:val="00BF3B87"/>
    <w:rsid w:val="00C23CDC"/>
    <w:rsid w:val="00C37791"/>
    <w:rsid w:val="00C60C77"/>
    <w:rsid w:val="00C80207"/>
    <w:rsid w:val="00C944A4"/>
    <w:rsid w:val="00C94C51"/>
    <w:rsid w:val="00CC20F0"/>
    <w:rsid w:val="00CD01BF"/>
    <w:rsid w:val="00D2093B"/>
    <w:rsid w:val="00D472BE"/>
    <w:rsid w:val="00D7131C"/>
    <w:rsid w:val="00DC1072"/>
    <w:rsid w:val="00DF50BC"/>
    <w:rsid w:val="00E30ADE"/>
    <w:rsid w:val="00E7779F"/>
    <w:rsid w:val="00E84F8B"/>
    <w:rsid w:val="00E8662F"/>
    <w:rsid w:val="00E9322A"/>
    <w:rsid w:val="00EA7F74"/>
    <w:rsid w:val="00EC1768"/>
    <w:rsid w:val="00EC3BCD"/>
    <w:rsid w:val="00ED009C"/>
    <w:rsid w:val="00ED2CFD"/>
    <w:rsid w:val="00EF3B31"/>
    <w:rsid w:val="00EF4AB9"/>
    <w:rsid w:val="00F063F8"/>
    <w:rsid w:val="00F615F9"/>
    <w:rsid w:val="00F75AAD"/>
    <w:rsid w:val="00F7665F"/>
    <w:rsid w:val="00F8046D"/>
    <w:rsid w:val="00F924CE"/>
    <w:rsid w:val="00FA1CC3"/>
    <w:rsid w:val="00FA5D33"/>
    <w:rsid w:val="00FB0FB8"/>
    <w:rsid w:val="00FE3150"/>
    <w:rsid w:val="01650DDF"/>
    <w:rsid w:val="017F5A66"/>
    <w:rsid w:val="01CE3AAE"/>
    <w:rsid w:val="032AC5BD"/>
    <w:rsid w:val="03A31F31"/>
    <w:rsid w:val="050DB803"/>
    <w:rsid w:val="0606415F"/>
    <w:rsid w:val="0791F64C"/>
    <w:rsid w:val="079BA537"/>
    <w:rsid w:val="07DD2F1E"/>
    <w:rsid w:val="080DBA61"/>
    <w:rsid w:val="0A81D9E0"/>
    <w:rsid w:val="0C2DBB42"/>
    <w:rsid w:val="0CFBEFE7"/>
    <w:rsid w:val="0DB3A555"/>
    <w:rsid w:val="1053973B"/>
    <w:rsid w:val="1098621F"/>
    <w:rsid w:val="13031A61"/>
    <w:rsid w:val="1304FAA2"/>
    <w:rsid w:val="130F3370"/>
    <w:rsid w:val="15735A90"/>
    <w:rsid w:val="16613239"/>
    <w:rsid w:val="1731C1E1"/>
    <w:rsid w:val="1878236F"/>
    <w:rsid w:val="19101BCC"/>
    <w:rsid w:val="19773917"/>
    <w:rsid w:val="1ACD2E18"/>
    <w:rsid w:val="1B24F829"/>
    <w:rsid w:val="1C2C392B"/>
    <w:rsid w:val="1CE0624E"/>
    <w:rsid w:val="1CE7E260"/>
    <w:rsid w:val="1D50125D"/>
    <w:rsid w:val="1DA97093"/>
    <w:rsid w:val="1E388C1E"/>
    <w:rsid w:val="2099C6B7"/>
    <w:rsid w:val="209EE83B"/>
    <w:rsid w:val="211C58CF"/>
    <w:rsid w:val="2139D15B"/>
    <w:rsid w:val="238CF45F"/>
    <w:rsid w:val="246B6ABE"/>
    <w:rsid w:val="251F0FB4"/>
    <w:rsid w:val="25A5221A"/>
    <w:rsid w:val="25A9B10F"/>
    <w:rsid w:val="262050F1"/>
    <w:rsid w:val="2A283501"/>
    <w:rsid w:val="2A6BA268"/>
    <w:rsid w:val="2C4E78AA"/>
    <w:rsid w:val="2CBCE8C7"/>
    <w:rsid w:val="2D0052E3"/>
    <w:rsid w:val="2D5F2162"/>
    <w:rsid w:val="2E126E82"/>
    <w:rsid w:val="2E281CBD"/>
    <w:rsid w:val="2E5B95EC"/>
    <w:rsid w:val="2E6132BC"/>
    <w:rsid w:val="2EA6323A"/>
    <w:rsid w:val="2F13CB1A"/>
    <w:rsid w:val="30436F61"/>
    <w:rsid w:val="30445648"/>
    <w:rsid w:val="3057C2E5"/>
    <w:rsid w:val="3060BDBD"/>
    <w:rsid w:val="30F91E08"/>
    <w:rsid w:val="30F9CC13"/>
    <w:rsid w:val="31C2BEC3"/>
    <w:rsid w:val="33C0039F"/>
    <w:rsid w:val="345EBBC6"/>
    <w:rsid w:val="34DE6C59"/>
    <w:rsid w:val="34F9EFEC"/>
    <w:rsid w:val="35793E0B"/>
    <w:rsid w:val="36BE5949"/>
    <w:rsid w:val="3767453A"/>
    <w:rsid w:val="38013520"/>
    <w:rsid w:val="395523FA"/>
    <w:rsid w:val="39F99A60"/>
    <w:rsid w:val="3ACE28E8"/>
    <w:rsid w:val="3ADE45B0"/>
    <w:rsid w:val="3BF39445"/>
    <w:rsid w:val="3C598F82"/>
    <w:rsid w:val="3CCD37BE"/>
    <w:rsid w:val="3D8F64A6"/>
    <w:rsid w:val="3E50AB9F"/>
    <w:rsid w:val="3F1B428E"/>
    <w:rsid w:val="400C8D72"/>
    <w:rsid w:val="40117538"/>
    <w:rsid w:val="423BF88B"/>
    <w:rsid w:val="42C2F6F2"/>
    <w:rsid w:val="43F8601B"/>
    <w:rsid w:val="44FC7DA9"/>
    <w:rsid w:val="45A92F81"/>
    <w:rsid w:val="4688FEB6"/>
    <w:rsid w:val="4730A651"/>
    <w:rsid w:val="47B784CE"/>
    <w:rsid w:val="48341E6B"/>
    <w:rsid w:val="4850A550"/>
    <w:rsid w:val="4931E4A5"/>
    <w:rsid w:val="49DE0CB5"/>
    <w:rsid w:val="4A3100AB"/>
    <w:rsid w:val="4B475E15"/>
    <w:rsid w:val="4B6BBF2D"/>
    <w:rsid w:val="4C6A220F"/>
    <w:rsid w:val="4CE70E25"/>
    <w:rsid w:val="4D1B5007"/>
    <w:rsid w:val="4E6FA980"/>
    <w:rsid w:val="5146B2B1"/>
    <w:rsid w:val="5180B17D"/>
    <w:rsid w:val="524F9E7F"/>
    <w:rsid w:val="53539429"/>
    <w:rsid w:val="54B1E7D9"/>
    <w:rsid w:val="5598B7C6"/>
    <w:rsid w:val="56614736"/>
    <w:rsid w:val="5674C4F1"/>
    <w:rsid w:val="580BA0F1"/>
    <w:rsid w:val="584E8D94"/>
    <w:rsid w:val="588EC18A"/>
    <w:rsid w:val="5907CE60"/>
    <w:rsid w:val="59CCDAC7"/>
    <w:rsid w:val="59EEC66D"/>
    <w:rsid w:val="5A601210"/>
    <w:rsid w:val="5A80D858"/>
    <w:rsid w:val="5B12BDA9"/>
    <w:rsid w:val="5B57BAC9"/>
    <w:rsid w:val="5BAD4DAC"/>
    <w:rsid w:val="5D35D9FD"/>
    <w:rsid w:val="5DACEB07"/>
    <w:rsid w:val="5DDA84EA"/>
    <w:rsid w:val="5F067607"/>
    <w:rsid w:val="5F941E4F"/>
    <w:rsid w:val="5FB50639"/>
    <w:rsid w:val="5FC0DC0A"/>
    <w:rsid w:val="600E7E27"/>
    <w:rsid w:val="607771A5"/>
    <w:rsid w:val="60EC1C84"/>
    <w:rsid w:val="60FE177E"/>
    <w:rsid w:val="61179F6E"/>
    <w:rsid w:val="6166023D"/>
    <w:rsid w:val="6289B277"/>
    <w:rsid w:val="639E81CF"/>
    <w:rsid w:val="63DBDB43"/>
    <w:rsid w:val="656F30BF"/>
    <w:rsid w:val="66276576"/>
    <w:rsid w:val="66CEC495"/>
    <w:rsid w:val="66EE1326"/>
    <w:rsid w:val="67684F03"/>
    <w:rsid w:val="68F947B4"/>
    <w:rsid w:val="69DFD3FB"/>
    <w:rsid w:val="6A345195"/>
    <w:rsid w:val="6AE3394F"/>
    <w:rsid w:val="6BBBC54C"/>
    <w:rsid w:val="6BC33474"/>
    <w:rsid w:val="6C0C16BA"/>
    <w:rsid w:val="6C1A35AB"/>
    <w:rsid w:val="6C994036"/>
    <w:rsid w:val="6D8BF654"/>
    <w:rsid w:val="6E22474C"/>
    <w:rsid w:val="6F08EEA9"/>
    <w:rsid w:val="6F47E810"/>
    <w:rsid w:val="70227429"/>
    <w:rsid w:val="71B552A4"/>
    <w:rsid w:val="71CB63F9"/>
    <w:rsid w:val="720D1D2E"/>
    <w:rsid w:val="728DDD30"/>
    <w:rsid w:val="739B9E68"/>
    <w:rsid w:val="74047C60"/>
    <w:rsid w:val="740D1D97"/>
    <w:rsid w:val="74AE0BA2"/>
    <w:rsid w:val="74E5761E"/>
    <w:rsid w:val="754E9174"/>
    <w:rsid w:val="7575CE77"/>
    <w:rsid w:val="75D86C95"/>
    <w:rsid w:val="792EB4A2"/>
    <w:rsid w:val="79687201"/>
    <w:rsid w:val="79D463BB"/>
    <w:rsid w:val="7A57EFA6"/>
    <w:rsid w:val="7A634D30"/>
    <w:rsid w:val="7A720EA1"/>
    <w:rsid w:val="7B2F608B"/>
    <w:rsid w:val="7D9589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3171FE2"/>
  <w15:chartTrackingRefBased/>
  <w15:docId w15:val="{494242DC-3D39-4DAF-A9F8-710D6922F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3C26"/>
    <w:pPr>
      <w:spacing w:after="297" w:line="221" w:lineRule="auto"/>
      <w:ind w:left="51" w:right="2669" w:firstLine="5"/>
      <w:jc w:val="both"/>
    </w:pPr>
    <w:rPr>
      <w:rFonts w:ascii="Calibri" w:eastAsia="Calibri" w:hAnsi="Calibri" w:cs="Calibri"/>
      <w:color w:val="000000"/>
      <w:sz w:val="24"/>
      <w:lang w:val="de-DE" w:eastAsia="de-DE"/>
    </w:rPr>
  </w:style>
  <w:style w:type="paragraph" w:styleId="berschrift2">
    <w:name w:val="heading 2"/>
    <w:next w:val="Standard"/>
    <w:link w:val="berschrift2Zchn"/>
    <w:uiPriority w:val="9"/>
    <w:unhideWhenUsed/>
    <w:qFormat/>
    <w:rsid w:val="00783C26"/>
    <w:pPr>
      <w:keepNext/>
      <w:keepLines/>
      <w:spacing w:after="188"/>
      <w:ind w:right="295"/>
      <w:jc w:val="center"/>
      <w:outlineLvl w:val="1"/>
    </w:pPr>
    <w:rPr>
      <w:rFonts w:ascii="Calibri" w:eastAsia="Calibri" w:hAnsi="Calibri" w:cs="Calibri"/>
      <w:color w:val="000000"/>
      <w:sz w:val="2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83C26"/>
    <w:rPr>
      <w:rFonts w:ascii="Calibri" w:eastAsia="Calibri" w:hAnsi="Calibri" w:cs="Calibri"/>
      <w:color w:val="000000"/>
      <w:sz w:val="28"/>
      <w:lang w:val="de-DE" w:eastAsia="de-DE"/>
    </w:rPr>
  </w:style>
  <w:style w:type="paragraph" w:styleId="Listenabsatz">
    <w:name w:val="List Paragraph"/>
    <w:basedOn w:val="Standard"/>
    <w:uiPriority w:val="34"/>
    <w:qFormat/>
    <w:rsid w:val="00783C26"/>
    <w:pPr>
      <w:ind w:left="720"/>
      <w:contextualSpacing/>
    </w:pPr>
  </w:style>
  <w:style w:type="paragraph" w:styleId="Fuzeile">
    <w:name w:val="footer"/>
    <w:basedOn w:val="Standard"/>
    <w:link w:val="FuzeileZchn"/>
    <w:uiPriority w:val="99"/>
    <w:unhideWhenUsed/>
    <w:rsid w:val="00ED2C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D2CFD"/>
    <w:rPr>
      <w:rFonts w:ascii="Calibri" w:eastAsia="Calibri" w:hAnsi="Calibri" w:cs="Calibri"/>
      <w:color w:val="000000"/>
      <w:sz w:val="24"/>
      <w:lang w:val="de-DE" w:eastAsia="de-DE"/>
    </w:rPr>
  </w:style>
  <w:style w:type="paragraph" w:styleId="Kopfzeile">
    <w:name w:val="header"/>
    <w:basedOn w:val="Standard"/>
    <w:link w:val="KopfzeileZchn"/>
    <w:uiPriority w:val="99"/>
    <w:unhideWhenUsed/>
    <w:rsid w:val="00ED2C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D2CFD"/>
    <w:rPr>
      <w:rFonts w:ascii="Calibri" w:eastAsia="Calibri" w:hAnsi="Calibri" w:cs="Calibri"/>
      <w:color w:val="000000"/>
      <w:sz w:val="24"/>
      <w:lang w:val="de-DE" w:eastAsia="de-DE"/>
    </w:rPr>
  </w:style>
  <w:style w:type="character" w:styleId="Kommentarzeichen">
    <w:name w:val="annotation reference"/>
    <w:basedOn w:val="Absatz-Standardschriftart"/>
    <w:uiPriority w:val="99"/>
    <w:semiHidden/>
    <w:unhideWhenUsed/>
    <w:rsid w:val="00130D27"/>
    <w:rPr>
      <w:sz w:val="16"/>
      <w:szCs w:val="16"/>
    </w:rPr>
  </w:style>
  <w:style w:type="paragraph" w:styleId="Kommentartext">
    <w:name w:val="annotation text"/>
    <w:basedOn w:val="Standard"/>
    <w:link w:val="KommentartextZchn"/>
    <w:uiPriority w:val="99"/>
    <w:unhideWhenUsed/>
    <w:rsid w:val="00130D27"/>
    <w:pPr>
      <w:spacing w:line="240" w:lineRule="auto"/>
    </w:pPr>
    <w:rPr>
      <w:sz w:val="20"/>
      <w:szCs w:val="20"/>
    </w:rPr>
  </w:style>
  <w:style w:type="character" w:customStyle="1" w:styleId="KommentartextZchn">
    <w:name w:val="Kommentartext Zchn"/>
    <w:basedOn w:val="Absatz-Standardschriftart"/>
    <w:link w:val="Kommentartext"/>
    <w:uiPriority w:val="99"/>
    <w:rsid w:val="00130D27"/>
    <w:rPr>
      <w:rFonts w:ascii="Calibri" w:eastAsia="Calibri" w:hAnsi="Calibri" w:cs="Calibri"/>
      <w:color w:val="000000"/>
      <w:sz w:val="20"/>
      <w:szCs w:val="20"/>
      <w:lang w:val="de-DE" w:eastAsia="de-DE"/>
    </w:rPr>
  </w:style>
  <w:style w:type="paragraph" w:styleId="Kommentarthema">
    <w:name w:val="annotation subject"/>
    <w:basedOn w:val="Kommentartext"/>
    <w:next w:val="Kommentartext"/>
    <w:link w:val="KommentarthemaZchn"/>
    <w:uiPriority w:val="99"/>
    <w:semiHidden/>
    <w:unhideWhenUsed/>
    <w:rsid w:val="00130D27"/>
    <w:rPr>
      <w:b/>
      <w:bCs/>
    </w:rPr>
  </w:style>
  <w:style w:type="character" w:customStyle="1" w:styleId="KommentarthemaZchn">
    <w:name w:val="Kommentarthema Zchn"/>
    <w:basedOn w:val="KommentartextZchn"/>
    <w:link w:val="Kommentarthema"/>
    <w:uiPriority w:val="99"/>
    <w:semiHidden/>
    <w:rsid w:val="00130D27"/>
    <w:rPr>
      <w:rFonts w:ascii="Calibri" w:eastAsia="Calibri" w:hAnsi="Calibri" w:cs="Calibri"/>
      <w:b/>
      <w:bCs/>
      <w:color w:val="000000"/>
      <w:sz w:val="20"/>
      <w:szCs w:val="20"/>
      <w:lang w:val="de-DE" w:eastAsia="de-DE"/>
    </w:rPr>
  </w:style>
  <w:style w:type="character" w:customStyle="1" w:styleId="normaltextrun">
    <w:name w:val="normaltextrun"/>
    <w:basedOn w:val="Absatz-Standardschriftart"/>
    <w:rsid w:val="00970AF2"/>
  </w:style>
  <w:style w:type="paragraph" w:customStyle="1" w:styleId="m9092498664005648097gmail-m-4318799543348785647msolistparagraph">
    <w:name w:val="m_9092498664005648097gmail-m_-4318799543348785647msolistparagraph"/>
    <w:basedOn w:val="Standard"/>
    <w:rsid w:val="5DDA84EA"/>
    <w:pPr>
      <w:spacing w:beforeAutospacing="1" w:afterAutospacing="1"/>
    </w:pPr>
    <w:rPr>
      <w:rFonts w:ascii="Times New Roman" w:eastAsia="Times New Roman" w:hAnsi="Times New Roman" w:cs="Times New Roman"/>
      <w:color w:val="auto"/>
      <w:lang w:val="en-US"/>
    </w:rPr>
  </w:style>
  <w:style w:type="table" w:styleId="Tabellenraster">
    <w:name w:val="Table Grid"/>
    <w:basedOn w:val="NormaleTabelle"/>
    <w:uiPriority w:val="39"/>
    <w:rsid w:val="00457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79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5d51b78-80f6-4392-a00d-cf4b99659191">
      <UserInfo>
        <DisplayName>Miriam Morhart</DisplayName>
        <AccountId>45</AccountId>
        <AccountType/>
      </UserInfo>
      <UserInfo>
        <DisplayName>Steven Krätke</DisplayName>
        <AccountId>590</AccountId>
        <AccountType/>
      </UserInfo>
      <UserInfo>
        <DisplayName>Elena Suero</DisplayName>
        <AccountId>540</AccountId>
        <AccountType/>
      </UserInfo>
    </SharedWithUsers>
    <TaxCatchAll xmlns="65d51b78-80f6-4392-a00d-cf4b99659191" xsi:nil="true"/>
    <lcf76f155ced4ddcb4097134ff3c332f xmlns="a3848001-8477-47c8-806b-42fd43fd2b8b">
      <Terms xmlns="http://schemas.microsoft.com/office/infopath/2007/PartnerControls"/>
    </lcf76f155ced4ddcb4097134ff3c332f>
    <MediaLengthInSeconds xmlns="a3848001-8477-47c8-806b-42fd43fd2b8b" xsi:nil="true"/>
    <_Flow_SignoffStatus xmlns="a3848001-8477-47c8-806b-42fd43fd2b8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A6733CB75E8E4AB4C316086137F9B7" ma:contentTypeVersion="15" ma:contentTypeDescription="Ein neues Dokument erstellen." ma:contentTypeScope="" ma:versionID="dcd9fc9998fc9350c9fadd3f836b4a54">
  <xsd:schema xmlns:xsd="http://www.w3.org/2001/XMLSchema" xmlns:xs="http://www.w3.org/2001/XMLSchema" xmlns:p="http://schemas.microsoft.com/office/2006/metadata/properties" xmlns:ns2="65d51b78-80f6-4392-a00d-cf4b99659191" xmlns:ns3="a3848001-8477-47c8-806b-42fd43fd2b8b" targetNamespace="http://schemas.microsoft.com/office/2006/metadata/properties" ma:root="true" ma:fieldsID="2a70e705c87ffbf02e307858eb73683f" ns2:_="" ns3:_="">
    <xsd:import namespace="65d51b78-80f6-4392-a00d-cf4b99659191"/>
    <xsd:import namespace="a3848001-8477-47c8-806b-42fd43fd2b8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8001-8477-47c8-806b-42fd43fd2b8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C395EE-418B-432C-A64D-03A427FD451D}">
  <ds:schemaRefs>
    <ds:schemaRef ds:uri="http://schemas.microsoft.com/sharepoint/v3/contenttype/forms"/>
  </ds:schemaRefs>
</ds:datastoreItem>
</file>

<file path=customXml/itemProps2.xml><?xml version="1.0" encoding="utf-8"?>
<ds:datastoreItem xmlns:ds="http://schemas.openxmlformats.org/officeDocument/2006/customXml" ds:itemID="{1F6FDF34-9A19-4E42-ACC0-561F709AAA45}">
  <ds:schemaRefs>
    <ds:schemaRef ds:uri="http://purl.org/dc/terms/"/>
    <ds:schemaRef ds:uri="http://schemas.openxmlformats.org/package/2006/metadata/core-properties"/>
    <ds:schemaRef ds:uri="a3848001-8477-47c8-806b-42fd43fd2b8b"/>
    <ds:schemaRef ds:uri="http://schemas.microsoft.com/office/2006/documentManagement/types"/>
    <ds:schemaRef ds:uri="http://schemas.microsoft.com/office/infopath/2007/PartnerControls"/>
    <ds:schemaRef ds:uri="65d51b78-80f6-4392-a00d-cf4b99659191"/>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88B02-A7C0-4C2D-99CA-0F02062D28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a3848001-8477-47c8-806b-42fd43fd2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1436</Words>
  <Characters>9054</Characters>
  <Application>Microsoft Office Word</Application>
  <DocSecurity>0</DocSecurity>
  <Lines>75</Lines>
  <Paragraphs>20</Paragraphs>
  <ScaleCrop>false</ScaleCrop>
  <Company/>
  <LinksUpToDate>false</LinksUpToDate>
  <CharactersWithSpaces>10470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c:creator>
  <cp:keywords/>
  <dc:description/>
  <cp:lastModifiedBy>Catrin Braun</cp:lastModifiedBy>
  <cp:revision>53</cp:revision>
  <cp:lastPrinted>2021-11-05T18:55:00Z</cp:lastPrinted>
  <dcterms:created xsi:type="dcterms:W3CDTF">2023-06-21T18:19:00Z</dcterms:created>
  <dcterms:modified xsi:type="dcterms:W3CDTF">2023-07-03T14:02:00Z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0x010100E5A6733CB75E8E4AB4C316086137F9B7</vt:lpwstr>
  </property>
  <property fmtid="{D5CDD505-2E9C-101B-9397-08002B2CF9AE}" pid="3" name="_dlc_DocIdItemGuid">
    <vt:lpwstr>8bdb2593-cc95-4eed-b4b6-17d13d939908</vt:lpwstr>
  </property>
  <property fmtid="{D5CDD505-2E9C-101B-9397-08002B2CF9AE}" pid="4" name="MediaServiceImageTags">
    <vt:lpwstr/>
  </property>
  <property fmtid="{D5CDD505-2E9C-101B-9397-08002B2CF9AE}" pid="5" name="Order">
    <vt:r8>186317200</vt:r8>
  </property>
  <property fmtid="{D5CDD505-2E9C-101B-9397-08002B2CF9AE}" pid="6" name="xd_Signature">
    <vt:bool>false</vt:bool>
  </property>
  <property fmtid="{D5CDD505-2E9C-101B-9397-08002B2CF9AE}" pid="7" name="xd_ProgID">
    <vt:lpwstr/>
  </property>
  <property fmtid="{D5CDD505-2E9C-101B-9397-08002B2CF9AE}" pid="8" name="_dlc_DocId">
    <vt:lpwstr>DTFAP2TVUWQA-588523924-1863405</vt:lpwstr>
  </property>
  <property fmtid="{D5CDD505-2E9C-101B-9397-08002B2CF9AE}" pid="9" name="_dlc_DocIdUrl">
    <vt:lpwstr>https://drkgsberlin.sharepoint.com/sites/Bereich_2a/_layouts/15/DocIdRedir.aspx?ID=DTFAP2TVUWQA-588523924-1863405, DTFAP2TVUWQA-588523924-1863405</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